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F27B7" w14:textId="59993B7E" w:rsidR="00B42946" w:rsidRDefault="00000000" w:rsidP="00261C00">
      <w:pPr>
        <w:pStyle w:val="SmallTitle"/>
        <w:numPr>
          <w:ilvl w:val="0"/>
          <w:numId w:val="35"/>
        </w:numPr>
      </w:pPr>
      <w:r>
        <w:t>Informacja o wykonaniu budżetu Gminy Godziesze Wielkie</w:t>
      </w:r>
      <w:r>
        <w:br/>
        <w:t>za IV kwartał 2025 roku</w:t>
      </w:r>
    </w:p>
    <w:p w14:paraId="19838C85" w14:textId="77777777" w:rsidR="00B42946" w:rsidRDefault="00000000">
      <w:pPr>
        <w:jc w:val="both"/>
      </w:pPr>
      <w:r>
        <w:t xml:space="preserve">Zgodnie z art. 37 ust. 1 ustawy z dnia 27 sierpnia 2009 r. – o finansach publicznych (Dz. U. 2024 r. poz. 1530 z </w:t>
      </w:r>
      <w:proofErr w:type="spellStart"/>
      <w:r>
        <w:t>późn</w:t>
      </w:r>
      <w:proofErr w:type="spellEnd"/>
      <w:r>
        <w:t>. zm.) Wójt Gminy Godziesze Wielkie podaje do publicznej wiadomości kwartalną informację o wykonaniu budżetu Gminy Godziesze Wielkie, w tym kwotę deficytu, oraz o udzielonych umorzeniach niepodatkowych należności budżetowych.</w:t>
      </w:r>
    </w:p>
    <w:p w14:paraId="66B299AA" w14:textId="77777777" w:rsidR="00B42946" w:rsidRDefault="00000000">
      <w:pPr>
        <w:jc w:val="both"/>
      </w:pPr>
      <w:r>
        <w:t>Budżet Gminy w 2025 roku, który został przyjęty uchwałą Rady Gminy Rady Gminy Godziesze Wielkie nr IX/74/2024 z dnia 19.12.2024 roku, zakładał:</w:t>
      </w:r>
    </w:p>
    <w:p w14:paraId="6CBDF64E" w14:textId="77777777" w:rsidR="00B42946" w:rsidRDefault="00000000">
      <w:pPr>
        <w:pStyle w:val="Akapitzlist"/>
        <w:numPr>
          <w:ilvl w:val="0"/>
          <w:numId w:val="23"/>
        </w:numPr>
        <w:jc w:val="both"/>
      </w:pPr>
      <w:r>
        <w:t>uzyskanie dochodów w kwocie 74 436 564,00 zł;</w:t>
      </w:r>
    </w:p>
    <w:p w14:paraId="4E9F0F96" w14:textId="77777777" w:rsidR="00B42946" w:rsidRDefault="00000000">
      <w:pPr>
        <w:pStyle w:val="Akapitzlist"/>
        <w:numPr>
          <w:ilvl w:val="0"/>
          <w:numId w:val="23"/>
        </w:numPr>
        <w:jc w:val="both"/>
      </w:pPr>
      <w:r>
        <w:t>realizację wydatków na poziomie 82 110 006,00 zł;</w:t>
      </w:r>
    </w:p>
    <w:p w14:paraId="4725D412" w14:textId="77777777" w:rsidR="00B42946" w:rsidRDefault="00000000">
      <w:pPr>
        <w:pStyle w:val="Akapitzlist"/>
        <w:numPr>
          <w:ilvl w:val="0"/>
          <w:numId w:val="23"/>
        </w:numPr>
        <w:jc w:val="both"/>
      </w:pPr>
      <w:r>
        <w:t>pozyskanie przychodów w kwocie 8 773 442,00 zł;</w:t>
      </w:r>
    </w:p>
    <w:p w14:paraId="11458392" w14:textId="77777777" w:rsidR="00B42946" w:rsidRDefault="00000000">
      <w:pPr>
        <w:pStyle w:val="Akapitzlist"/>
        <w:numPr>
          <w:ilvl w:val="0"/>
          <w:numId w:val="23"/>
        </w:numPr>
        <w:jc w:val="both"/>
      </w:pPr>
      <w:r>
        <w:t>realizację rozchodów na poziomie 1 100 000,00 zł.</w:t>
      </w:r>
    </w:p>
    <w:p w14:paraId="32D52107" w14:textId="77777777" w:rsidR="00B42946" w:rsidRDefault="00000000">
      <w:pPr>
        <w:jc w:val="both"/>
      </w:pPr>
      <w:r>
        <w:t>Różnica między planem dochodów a planem wydatków wynosiła 7 673 442,00 zł i stanowiła planowany deficyt budżetu Gminy Godziesze Wielkie na 2025 rok. Planowana na 2025 rok wartość przychodów stanowiła źródło pokrycia powstałego deficytu, a w pozostałej części została przeznaczona na rozchody.</w:t>
      </w:r>
    </w:p>
    <w:p w14:paraId="3560CABB" w14:textId="77777777" w:rsidR="00B42946" w:rsidRDefault="00000000">
      <w:pPr>
        <w:jc w:val="both"/>
      </w:pPr>
      <w:r>
        <w:t>W wyniku wprowadzonych zmian w 2025 roku:</w:t>
      </w:r>
    </w:p>
    <w:p w14:paraId="5D4E42D2" w14:textId="77777777" w:rsidR="00B42946" w:rsidRDefault="00000000">
      <w:pPr>
        <w:pStyle w:val="Akapitzlist"/>
        <w:numPr>
          <w:ilvl w:val="0"/>
          <w:numId w:val="24"/>
        </w:numPr>
        <w:jc w:val="both"/>
      </w:pPr>
      <w:r>
        <w:t>plan dochodów wzrósł o 3 427 694,46 zł do kwoty 77 864 258,46 zł;</w:t>
      </w:r>
    </w:p>
    <w:p w14:paraId="1E6658CB" w14:textId="77777777" w:rsidR="00B42946" w:rsidRDefault="00000000">
      <w:pPr>
        <w:pStyle w:val="Akapitzlist"/>
        <w:numPr>
          <w:ilvl w:val="0"/>
          <w:numId w:val="24"/>
        </w:numPr>
        <w:jc w:val="both"/>
      </w:pPr>
      <w:r>
        <w:t>plan wydatków wzrósł o 585 639,46 zł do kwoty 82 695 645,46 zł;</w:t>
      </w:r>
    </w:p>
    <w:p w14:paraId="576929CE" w14:textId="77777777" w:rsidR="00B42946" w:rsidRDefault="00000000">
      <w:pPr>
        <w:pStyle w:val="Akapitzlist"/>
        <w:numPr>
          <w:ilvl w:val="0"/>
          <w:numId w:val="24"/>
        </w:numPr>
        <w:jc w:val="both"/>
      </w:pPr>
      <w:r>
        <w:t>plan przychodów wzrósł o 1 607 745,00 zł do kwoty 10 381 187,00 zł;</w:t>
      </w:r>
    </w:p>
    <w:p w14:paraId="7875974E" w14:textId="77777777" w:rsidR="00B42946" w:rsidRDefault="00000000">
      <w:pPr>
        <w:pStyle w:val="Akapitzlist"/>
        <w:numPr>
          <w:ilvl w:val="0"/>
          <w:numId w:val="24"/>
        </w:numPr>
        <w:jc w:val="both"/>
      </w:pPr>
      <w:r>
        <w:t>plan rozchodów wzrósł o 4 449 800,00 zł do kwoty 5 549 800,00 zł.</w:t>
      </w:r>
    </w:p>
    <w:p w14:paraId="523A7283" w14:textId="77777777" w:rsidR="00B42946" w:rsidRDefault="00000000">
      <w:pPr>
        <w:jc w:val="both"/>
      </w:pPr>
      <w:r>
        <w:t>Na dzień 31 grudnia 2025 roku budżet Gminy Godziesze Wielkie zamknął się planowanym deficytem budżetowym w kwocie 4 831 387,00 zł stanowiącym różnicę między planem dochodów a planem wydatków.</w:t>
      </w:r>
    </w:p>
    <w:p w14:paraId="2747EA14" w14:textId="77777777" w:rsidR="00B42946" w:rsidRDefault="00000000">
      <w:pPr>
        <w:jc w:val="both"/>
      </w:pPr>
      <w:r>
        <w:t>W ujęciu tabelarycznym wykonanie budżetu za  2025 r. przedstawia poniższa tabela.</w:t>
      </w:r>
    </w:p>
    <w:tbl>
      <w:tblPr>
        <w:tblStyle w:val="TabelaCurulisEco"/>
        <w:tblW w:w="5000" w:type="pct"/>
        <w:tblLook w:val="04A0" w:firstRow="1" w:lastRow="0" w:firstColumn="1" w:lastColumn="0" w:noHBand="0" w:noVBand="1"/>
      </w:tblPr>
      <w:tblGrid>
        <w:gridCol w:w="391"/>
        <w:gridCol w:w="5537"/>
        <w:gridCol w:w="1033"/>
        <w:gridCol w:w="1033"/>
        <w:gridCol w:w="1033"/>
        <w:gridCol w:w="837"/>
      </w:tblGrid>
      <w:tr w:rsidR="00B42946" w14:paraId="456ED2BD" w14:textId="77777777" w:rsidTr="00B4294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00" w:type="pct"/>
            <w:tcMar>
              <w:top w:w="11" w:type="dxa"/>
              <w:left w:w="85" w:type="dxa"/>
              <w:bottom w:w="6" w:type="dxa"/>
              <w:right w:w="85" w:type="dxa"/>
            </w:tcMar>
          </w:tcPr>
          <w:p w14:paraId="0CEBB69E" w14:textId="77777777" w:rsidR="00B42946" w:rsidRDefault="00000000">
            <w:pPr>
              <w:rPr>
                <w:sz w:val="15"/>
                <w:szCs w:val="15"/>
              </w:rPr>
            </w:pPr>
            <w:r>
              <w:rPr>
                <w:sz w:val="15"/>
                <w:szCs w:val="15"/>
              </w:rPr>
              <w:t>Lp.</w:t>
            </w:r>
          </w:p>
        </w:tc>
        <w:tc>
          <w:tcPr>
            <w:tcW w:w="7500" w:type="pct"/>
            <w:tcMar>
              <w:top w:w="11" w:type="dxa"/>
              <w:left w:w="85" w:type="dxa"/>
              <w:bottom w:w="6" w:type="dxa"/>
              <w:right w:w="85" w:type="dxa"/>
            </w:tcMar>
          </w:tcPr>
          <w:p w14:paraId="49C98B76" w14:textId="77777777" w:rsidR="00B42946" w:rsidRDefault="00000000">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Wyszczególnienie</w:t>
            </w:r>
          </w:p>
        </w:tc>
        <w:tc>
          <w:tcPr>
            <w:tcW w:w="5400" w:type="pct"/>
            <w:tcMar>
              <w:top w:w="11" w:type="dxa"/>
              <w:left w:w="85" w:type="dxa"/>
              <w:bottom w:w="6" w:type="dxa"/>
              <w:right w:w="85" w:type="dxa"/>
            </w:tcMar>
          </w:tcPr>
          <w:p w14:paraId="53F81352" w14:textId="77777777" w:rsidR="00B42946" w:rsidRDefault="00000000">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Plan na 1.01.2025 r. (w zł)</w:t>
            </w:r>
          </w:p>
        </w:tc>
        <w:tc>
          <w:tcPr>
            <w:tcW w:w="5400" w:type="pct"/>
            <w:tcMar>
              <w:top w:w="11" w:type="dxa"/>
              <w:left w:w="85" w:type="dxa"/>
              <w:bottom w:w="6" w:type="dxa"/>
              <w:right w:w="85" w:type="dxa"/>
            </w:tcMar>
          </w:tcPr>
          <w:p w14:paraId="6F0A0861" w14:textId="77777777" w:rsidR="00B42946" w:rsidRDefault="00000000">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Plan na 31.12.2025 r. (w zł)</w:t>
            </w:r>
          </w:p>
        </w:tc>
        <w:tc>
          <w:tcPr>
            <w:tcW w:w="5400" w:type="pct"/>
            <w:tcMar>
              <w:top w:w="11" w:type="dxa"/>
              <w:left w:w="85" w:type="dxa"/>
              <w:bottom w:w="6" w:type="dxa"/>
              <w:right w:w="85" w:type="dxa"/>
            </w:tcMar>
          </w:tcPr>
          <w:p w14:paraId="6EF0580A" w14:textId="77777777" w:rsidR="00B42946" w:rsidRDefault="00000000">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Wykonanie (w zł)</w:t>
            </w:r>
          </w:p>
        </w:tc>
        <w:tc>
          <w:tcPr>
            <w:tcW w:w="4500" w:type="pct"/>
            <w:tcMar>
              <w:top w:w="11" w:type="dxa"/>
              <w:left w:w="85" w:type="dxa"/>
              <w:bottom w:w="6" w:type="dxa"/>
              <w:right w:w="85" w:type="dxa"/>
            </w:tcMar>
          </w:tcPr>
          <w:p w14:paraId="156E5991" w14:textId="77777777" w:rsidR="00B42946" w:rsidRDefault="00000000">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Realizacja planu po zmianach (w %)</w:t>
            </w:r>
          </w:p>
        </w:tc>
      </w:tr>
      <w:tr w:rsidR="00B42946" w14:paraId="097BB89D"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479765F1" w14:textId="77777777" w:rsidR="00B42946" w:rsidRDefault="00000000">
            <w:pPr>
              <w:jc w:val="center"/>
              <w:rPr>
                <w:b/>
                <w:bCs/>
                <w:sz w:val="15"/>
                <w:szCs w:val="15"/>
              </w:rPr>
            </w:pPr>
            <w:r>
              <w:rPr>
                <w:b/>
                <w:bCs/>
                <w:sz w:val="15"/>
                <w:szCs w:val="15"/>
              </w:rPr>
              <w:t>I.</w:t>
            </w:r>
          </w:p>
        </w:tc>
        <w:tc>
          <w:tcPr>
            <w:tcW w:w="833" w:type="pct"/>
            <w:tcMar>
              <w:top w:w="11" w:type="dxa"/>
              <w:left w:w="85" w:type="dxa"/>
              <w:bottom w:w="6" w:type="dxa"/>
              <w:right w:w="85" w:type="dxa"/>
            </w:tcMar>
          </w:tcPr>
          <w:p w14:paraId="162E9AC1" w14:textId="77777777" w:rsidR="00B42946" w:rsidRDefault="00000000">
            <w:pPr>
              <w:jc w:val="left"/>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Dochody ogółem, w tym:</w:t>
            </w:r>
          </w:p>
        </w:tc>
        <w:tc>
          <w:tcPr>
            <w:tcW w:w="833" w:type="pct"/>
            <w:tcMar>
              <w:top w:w="11" w:type="dxa"/>
              <w:left w:w="85" w:type="dxa"/>
              <w:bottom w:w="6" w:type="dxa"/>
              <w:right w:w="85" w:type="dxa"/>
            </w:tcMar>
          </w:tcPr>
          <w:p w14:paraId="14F3AD8A"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74 436 564,00</w:t>
            </w:r>
          </w:p>
        </w:tc>
        <w:tc>
          <w:tcPr>
            <w:tcW w:w="833" w:type="pct"/>
            <w:tcMar>
              <w:top w:w="11" w:type="dxa"/>
              <w:left w:w="85" w:type="dxa"/>
              <w:bottom w:w="6" w:type="dxa"/>
              <w:right w:w="85" w:type="dxa"/>
            </w:tcMar>
          </w:tcPr>
          <w:p w14:paraId="63554F49"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77 864 258,46</w:t>
            </w:r>
          </w:p>
        </w:tc>
        <w:tc>
          <w:tcPr>
            <w:tcW w:w="833" w:type="pct"/>
            <w:tcMar>
              <w:top w:w="11" w:type="dxa"/>
              <w:left w:w="85" w:type="dxa"/>
              <w:bottom w:w="6" w:type="dxa"/>
              <w:right w:w="85" w:type="dxa"/>
            </w:tcMar>
          </w:tcPr>
          <w:p w14:paraId="5ACFA0A6"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79 272 027,85</w:t>
            </w:r>
          </w:p>
        </w:tc>
        <w:tc>
          <w:tcPr>
            <w:tcW w:w="835" w:type="pct"/>
            <w:tcMar>
              <w:top w:w="11" w:type="dxa"/>
              <w:left w:w="85" w:type="dxa"/>
              <w:bottom w:w="6" w:type="dxa"/>
              <w:right w:w="85" w:type="dxa"/>
            </w:tcMar>
          </w:tcPr>
          <w:p w14:paraId="6A52E72E"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101,81%</w:t>
            </w:r>
          </w:p>
        </w:tc>
      </w:tr>
      <w:tr w:rsidR="00B42946" w14:paraId="15365E85"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6A661DE6" w14:textId="77777777" w:rsidR="00B42946" w:rsidRDefault="00000000">
            <w:pPr>
              <w:jc w:val="center"/>
              <w:rPr>
                <w:sz w:val="15"/>
                <w:szCs w:val="15"/>
              </w:rPr>
            </w:pPr>
            <w:r>
              <w:rPr>
                <w:sz w:val="15"/>
                <w:szCs w:val="15"/>
              </w:rPr>
              <w:t>1.</w:t>
            </w:r>
          </w:p>
        </w:tc>
        <w:tc>
          <w:tcPr>
            <w:tcW w:w="833" w:type="pct"/>
            <w:tcMar>
              <w:top w:w="11" w:type="dxa"/>
              <w:left w:w="85" w:type="dxa"/>
              <w:bottom w:w="6" w:type="dxa"/>
              <w:right w:w="85" w:type="dxa"/>
            </w:tcMar>
          </w:tcPr>
          <w:p w14:paraId="6A95E99A" w14:textId="77777777" w:rsidR="00B42946" w:rsidRDefault="00000000">
            <w:pPr>
              <w:jc w:val="left"/>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Dochody bieżące, w tym:</w:t>
            </w:r>
          </w:p>
        </w:tc>
        <w:tc>
          <w:tcPr>
            <w:tcW w:w="833" w:type="pct"/>
            <w:tcMar>
              <w:top w:w="11" w:type="dxa"/>
              <w:left w:w="85" w:type="dxa"/>
              <w:bottom w:w="6" w:type="dxa"/>
              <w:right w:w="85" w:type="dxa"/>
            </w:tcMar>
          </w:tcPr>
          <w:p w14:paraId="142FAC1D"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64 712 458,52</w:t>
            </w:r>
          </w:p>
        </w:tc>
        <w:tc>
          <w:tcPr>
            <w:tcW w:w="833" w:type="pct"/>
            <w:tcMar>
              <w:top w:w="11" w:type="dxa"/>
              <w:left w:w="85" w:type="dxa"/>
              <w:bottom w:w="6" w:type="dxa"/>
              <w:right w:w="85" w:type="dxa"/>
            </w:tcMar>
          </w:tcPr>
          <w:p w14:paraId="03EA8EFC"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70 905 424,70</w:t>
            </w:r>
          </w:p>
        </w:tc>
        <w:tc>
          <w:tcPr>
            <w:tcW w:w="833" w:type="pct"/>
            <w:tcMar>
              <w:top w:w="11" w:type="dxa"/>
              <w:left w:w="85" w:type="dxa"/>
              <w:bottom w:w="6" w:type="dxa"/>
              <w:right w:w="85" w:type="dxa"/>
            </w:tcMar>
          </w:tcPr>
          <w:p w14:paraId="587C00BC"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72 319 558,09</w:t>
            </w:r>
          </w:p>
        </w:tc>
        <w:tc>
          <w:tcPr>
            <w:tcW w:w="835" w:type="pct"/>
            <w:tcMar>
              <w:top w:w="11" w:type="dxa"/>
              <w:left w:w="85" w:type="dxa"/>
              <w:bottom w:w="6" w:type="dxa"/>
              <w:right w:w="85" w:type="dxa"/>
            </w:tcMar>
          </w:tcPr>
          <w:p w14:paraId="2835061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101,99%</w:t>
            </w:r>
          </w:p>
        </w:tc>
      </w:tr>
      <w:tr w:rsidR="00B42946" w14:paraId="3B5F42A4"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61D4CB76" w14:textId="77777777" w:rsidR="00B42946" w:rsidRDefault="00B42946">
            <w:pPr>
              <w:rPr>
                <w:i/>
                <w:iCs/>
                <w:sz w:val="15"/>
                <w:szCs w:val="15"/>
              </w:rPr>
            </w:pPr>
          </w:p>
        </w:tc>
        <w:tc>
          <w:tcPr>
            <w:tcW w:w="833" w:type="pct"/>
            <w:tcMar>
              <w:top w:w="11" w:type="dxa"/>
              <w:left w:w="85" w:type="dxa"/>
              <w:bottom w:w="6" w:type="dxa"/>
              <w:right w:w="85" w:type="dxa"/>
            </w:tcMar>
          </w:tcPr>
          <w:p w14:paraId="3B8E6215"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Dotacje i dochody celowe</w:t>
            </w:r>
          </w:p>
        </w:tc>
        <w:tc>
          <w:tcPr>
            <w:tcW w:w="833" w:type="pct"/>
            <w:tcMar>
              <w:top w:w="11" w:type="dxa"/>
              <w:left w:w="85" w:type="dxa"/>
              <w:bottom w:w="6" w:type="dxa"/>
              <w:right w:w="85" w:type="dxa"/>
            </w:tcMar>
          </w:tcPr>
          <w:p w14:paraId="60558EE7"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5 142 898,70</w:t>
            </w:r>
          </w:p>
        </w:tc>
        <w:tc>
          <w:tcPr>
            <w:tcW w:w="833" w:type="pct"/>
            <w:tcMar>
              <w:top w:w="11" w:type="dxa"/>
              <w:left w:w="85" w:type="dxa"/>
              <w:bottom w:w="6" w:type="dxa"/>
              <w:right w:w="85" w:type="dxa"/>
            </w:tcMar>
          </w:tcPr>
          <w:p w14:paraId="4D581480"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9 944 165,99</w:t>
            </w:r>
          </w:p>
        </w:tc>
        <w:tc>
          <w:tcPr>
            <w:tcW w:w="833" w:type="pct"/>
            <w:tcMar>
              <w:top w:w="11" w:type="dxa"/>
              <w:left w:w="85" w:type="dxa"/>
              <w:bottom w:w="6" w:type="dxa"/>
              <w:right w:w="85" w:type="dxa"/>
            </w:tcMar>
          </w:tcPr>
          <w:p w14:paraId="47175182"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9 889 087,73</w:t>
            </w:r>
          </w:p>
        </w:tc>
        <w:tc>
          <w:tcPr>
            <w:tcW w:w="835" w:type="pct"/>
            <w:tcMar>
              <w:top w:w="11" w:type="dxa"/>
              <w:left w:w="85" w:type="dxa"/>
              <w:bottom w:w="6" w:type="dxa"/>
              <w:right w:w="85" w:type="dxa"/>
            </w:tcMar>
          </w:tcPr>
          <w:p w14:paraId="649ECE5A"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99,45%</w:t>
            </w:r>
          </w:p>
        </w:tc>
      </w:tr>
      <w:tr w:rsidR="00B42946" w14:paraId="4C0D5FF6"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508C4F4A" w14:textId="77777777" w:rsidR="00B42946" w:rsidRDefault="00B42946">
            <w:pPr>
              <w:rPr>
                <w:i/>
                <w:iCs/>
                <w:sz w:val="15"/>
                <w:szCs w:val="15"/>
              </w:rPr>
            </w:pPr>
          </w:p>
        </w:tc>
        <w:tc>
          <w:tcPr>
            <w:tcW w:w="833" w:type="pct"/>
            <w:tcMar>
              <w:top w:w="11" w:type="dxa"/>
              <w:left w:w="85" w:type="dxa"/>
              <w:bottom w:w="6" w:type="dxa"/>
              <w:right w:w="85" w:type="dxa"/>
            </w:tcMar>
          </w:tcPr>
          <w:p w14:paraId="31CAAF30"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Subwencja ogólna</w:t>
            </w:r>
          </w:p>
        </w:tc>
        <w:tc>
          <w:tcPr>
            <w:tcW w:w="833" w:type="pct"/>
            <w:tcMar>
              <w:top w:w="11" w:type="dxa"/>
              <w:left w:w="85" w:type="dxa"/>
              <w:bottom w:w="6" w:type="dxa"/>
              <w:right w:w="85" w:type="dxa"/>
            </w:tcMar>
          </w:tcPr>
          <w:p w14:paraId="47AF8E18"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16 223 268,95</w:t>
            </w:r>
          </w:p>
        </w:tc>
        <w:tc>
          <w:tcPr>
            <w:tcW w:w="833" w:type="pct"/>
            <w:tcMar>
              <w:top w:w="11" w:type="dxa"/>
              <w:left w:w="85" w:type="dxa"/>
              <w:bottom w:w="6" w:type="dxa"/>
              <w:right w:w="85" w:type="dxa"/>
            </w:tcMar>
          </w:tcPr>
          <w:p w14:paraId="34EAF766"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16 445 024,95</w:t>
            </w:r>
          </w:p>
        </w:tc>
        <w:tc>
          <w:tcPr>
            <w:tcW w:w="833" w:type="pct"/>
            <w:tcMar>
              <w:top w:w="11" w:type="dxa"/>
              <w:left w:w="85" w:type="dxa"/>
              <w:bottom w:w="6" w:type="dxa"/>
              <w:right w:w="85" w:type="dxa"/>
            </w:tcMar>
          </w:tcPr>
          <w:p w14:paraId="3521E53D"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16 445 024,95</w:t>
            </w:r>
          </w:p>
        </w:tc>
        <w:tc>
          <w:tcPr>
            <w:tcW w:w="835" w:type="pct"/>
            <w:tcMar>
              <w:top w:w="11" w:type="dxa"/>
              <w:left w:w="85" w:type="dxa"/>
              <w:bottom w:w="6" w:type="dxa"/>
              <w:right w:w="85" w:type="dxa"/>
            </w:tcMar>
          </w:tcPr>
          <w:p w14:paraId="70641F30"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100,00%</w:t>
            </w:r>
          </w:p>
        </w:tc>
      </w:tr>
      <w:tr w:rsidR="00B42946" w14:paraId="6237AC3C"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38272D05" w14:textId="77777777" w:rsidR="00B42946" w:rsidRDefault="00B42946">
            <w:pPr>
              <w:rPr>
                <w:i/>
                <w:iCs/>
                <w:sz w:val="15"/>
                <w:szCs w:val="15"/>
              </w:rPr>
            </w:pPr>
          </w:p>
        </w:tc>
        <w:tc>
          <w:tcPr>
            <w:tcW w:w="833" w:type="pct"/>
            <w:tcMar>
              <w:top w:w="11" w:type="dxa"/>
              <w:left w:w="85" w:type="dxa"/>
              <w:bottom w:w="6" w:type="dxa"/>
              <w:right w:w="85" w:type="dxa"/>
            </w:tcMar>
          </w:tcPr>
          <w:p w14:paraId="51F6EBB0"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Udziały w PIT i CIT</w:t>
            </w:r>
          </w:p>
        </w:tc>
        <w:tc>
          <w:tcPr>
            <w:tcW w:w="833" w:type="pct"/>
            <w:tcMar>
              <w:top w:w="11" w:type="dxa"/>
              <w:left w:w="85" w:type="dxa"/>
              <w:bottom w:w="6" w:type="dxa"/>
              <w:right w:w="85" w:type="dxa"/>
            </w:tcMar>
          </w:tcPr>
          <w:p w14:paraId="08BC94BC"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27 996 418,71</w:t>
            </w:r>
          </w:p>
        </w:tc>
        <w:tc>
          <w:tcPr>
            <w:tcW w:w="833" w:type="pct"/>
            <w:tcMar>
              <w:top w:w="11" w:type="dxa"/>
              <w:left w:w="85" w:type="dxa"/>
              <w:bottom w:w="6" w:type="dxa"/>
              <w:right w:w="85" w:type="dxa"/>
            </w:tcMar>
          </w:tcPr>
          <w:p w14:paraId="45A2A2F3"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27 996 418,71</w:t>
            </w:r>
          </w:p>
        </w:tc>
        <w:tc>
          <w:tcPr>
            <w:tcW w:w="833" w:type="pct"/>
            <w:tcMar>
              <w:top w:w="11" w:type="dxa"/>
              <w:left w:w="85" w:type="dxa"/>
              <w:bottom w:w="6" w:type="dxa"/>
              <w:right w:w="85" w:type="dxa"/>
            </w:tcMar>
          </w:tcPr>
          <w:p w14:paraId="0B521607"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27 996 418,71</w:t>
            </w:r>
          </w:p>
        </w:tc>
        <w:tc>
          <w:tcPr>
            <w:tcW w:w="835" w:type="pct"/>
            <w:tcMar>
              <w:top w:w="11" w:type="dxa"/>
              <w:left w:w="85" w:type="dxa"/>
              <w:bottom w:w="6" w:type="dxa"/>
              <w:right w:w="85" w:type="dxa"/>
            </w:tcMar>
          </w:tcPr>
          <w:p w14:paraId="6723C489"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100,00%</w:t>
            </w:r>
          </w:p>
        </w:tc>
      </w:tr>
      <w:tr w:rsidR="00B42946" w14:paraId="662895FA"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0CD76C4A" w14:textId="77777777" w:rsidR="00B42946" w:rsidRDefault="00B42946">
            <w:pPr>
              <w:rPr>
                <w:i/>
                <w:iCs/>
                <w:sz w:val="15"/>
                <w:szCs w:val="15"/>
              </w:rPr>
            </w:pPr>
          </w:p>
        </w:tc>
        <w:tc>
          <w:tcPr>
            <w:tcW w:w="833" w:type="pct"/>
            <w:tcMar>
              <w:top w:w="11" w:type="dxa"/>
              <w:left w:w="85" w:type="dxa"/>
              <w:bottom w:w="6" w:type="dxa"/>
              <w:right w:w="85" w:type="dxa"/>
            </w:tcMar>
          </w:tcPr>
          <w:p w14:paraId="3F621B57"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Wpływy z podatków i opłat</w:t>
            </w:r>
          </w:p>
        </w:tc>
        <w:tc>
          <w:tcPr>
            <w:tcW w:w="833" w:type="pct"/>
            <w:tcMar>
              <w:top w:w="11" w:type="dxa"/>
              <w:left w:w="85" w:type="dxa"/>
              <w:bottom w:w="6" w:type="dxa"/>
              <w:right w:w="85" w:type="dxa"/>
            </w:tcMar>
          </w:tcPr>
          <w:p w14:paraId="31BFA4E2"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10 460 068,00</w:t>
            </w:r>
          </w:p>
        </w:tc>
        <w:tc>
          <w:tcPr>
            <w:tcW w:w="833" w:type="pct"/>
            <w:tcMar>
              <w:top w:w="11" w:type="dxa"/>
              <w:left w:w="85" w:type="dxa"/>
              <w:bottom w:w="6" w:type="dxa"/>
              <w:right w:w="85" w:type="dxa"/>
            </w:tcMar>
          </w:tcPr>
          <w:p w14:paraId="2025487F"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10 817 510,11</w:t>
            </w:r>
          </w:p>
        </w:tc>
        <w:tc>
          <w:tcPr>
            <w:tcW w:w="833" w:type="pct"/>
            <w:tcMar>
              <w:top w:w="11" w:type="dxa"/>
              <w:left w:w="85" w:type="dxa"/>
              <w:bottom w:w="6" w:type="dxa"/>
              <w:right w:w="85" w:type="dxa"/>
            </w:tcMar>
          </w:tcPr>
          <w:p w14:paraId="515AF42C"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11 501 204,59</w:t>
            </w:r>
          </w:p>
        </w:tc>
        <w:tc>
          <w:tcPr>
            <w:tcW w:w="835" w:type="pct"/>
            <w:tcMar>
              <w:top w:w="11" w:type="dxa"/>
              <w:left w:w="85" w:type="dxa"/>
              <w:bottom w:w="6" w:type="dxa"/>
              <w:right w:w="85" w:type="dxa"/>
            </w:tcMar>
          </w:tcPr>
          <w:p w14:paraId="29561321"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106,32%</w:t>
            </w:r>
          </w:p>
        </w:tc>
      </w:tr>
      <w:tr w:rsidR="00B42946" w14:paraId="2270092F"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3E0E927A" w14:textId="77777777" w:rsidR="00B42946" w:rsidRDefault="00B42946">
            <w:pPr>
              <w:rPr>
                <w:i/>
                <w:iCs/>
                <w:sz w:val="15"/>
                <w:szCs w:val="15"/>
              </w:rPr>
            </w:pPr>
          </w:p>
        </w:tc>
        <w:tc>
          <w:tcPr>
            <w:tcW w:w="833" w:type="pct"/>
            <w:tcMar>
              <w:top w:w="11" w:type="dxa"/>
              <w:left w:w="85" w:type="dxa"/>
              <w:bottom w:w="6" w:type="dxa"/>
              <w:right w:w="85" w:type="dxa"/>
            </w:tcMar>
          </w:tcPr>
          <w:p w14:paraId="5016396C"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Pozostałe dochody bieżące</w:t>
            </w:r>
          </w:p>
        </w:tc>
        <w:tc>
          <w:tcPr>
            <w:tcW w:w="833" w:type="pct"/>
            <w:tcMar>
              <w:top w:w="11" w:type="dxa"/>
              <w:left w:w="85" w:type="dxa"/>
              <w:bottom w:w="6" w:type="dxa"/>
              <w:right w:w="85" w:type="dxa"/>
            </w:tcMar>
          </w:tcPr>
          <w:p w14:paraId="7FA5BBAC"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4 889 804,16</w:t>
            </w:r>
          </w:p>
        </w:tc>
        <w:tc>
          <w:tcPr>
            <w:tcW w:w="833" w:type="pct"/>
            <w:tcMar>
              <w:top w:w="11" w:type="dxa"/>
              <w:left w:w="85" w:type="dxa"/>
              <w:bottom w:w="6" w:type="dxa"/>
              <w:right w:w="85" w:type="dxa"/>
            </w:tcMar>
          </w:tcPr>
          <w:p w14:paraId="141DB4B7"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5 702 304,94</w:t>
            </w:r>
          </w:p>
        </w:tc>
        <w:tc>
          <w:tcPr>
            <w:tcW w:w="833" w:type="pct"/>
            <w:tcMar>
              <w:top w:w="11" w:type="dxa"/>
              <w:left w:w="85" w:type="dxa"/>
              <w:bottom w:w="6" w:type="dxa"/>
              <w:right w:w="85" w:type="dxa"/>
            </w:tcMar>
          </w:tcPr>
          <w:p w14:paraId="52AA9471"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6 487 822,11</w:t>
            </w:r>
          </w:p>
        </w:tc>
        <w:tc>
          <w:tcPr>
            <w:tcW w:w="835" w:type="pct"/>
            <w:tcMar>
              <w:top w:w="11" w:type="dxa"/>
              <w:left w:w="85" w:type="dxa"/>
              <w:bottom w:w="6" w:type="dxa"/>
              <w:right w:w="85" w:type="dxa"/>
            </w:tcMar>
          </w:tcPr>
          <w:p w14:paraId="750D8339"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113,78%</w:t>
            </w:r>
          </w:p>
        </w:tc>
      </w:tr>
      <w:tr w:rsidR="00B42946" w14:paraId="45F9B40D"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3F1D2412" w14:textId="77777777" w:rsidR="00B42946" w:rsidRDefault="00000000">
            <w:pPr>
              <w:jc w:val="center"/>
              <w:rPr>
                <w:sz w:val="15"/>
                <w:szCs w:val="15"/>
              </w:rPr>
            </w:pPr>
            <w:r>
              <w:rPr>
                <w:sz w:val="15"/>
                <w:szCs w:val="15"/>
              </w:rPr>
              <w:t>2.</w:t>
            </w:r>
          </w:p>
        </w:tc>
        <w:tc>
          <w:tcPr>
            <w:tcW w:w="833" w:type="pct"/>
            <w:tcMar>
              <w:top w:w="11" w:type="dxa"/>
              <w:left w:w="85" w:type="dxa"/>
              <w:bottom w:w="6" w:type="dxa"/>
              <w:right w:w="85" w:type="dxa"/>
            </w:tcMar>
          </w:tcPr>
          <w:p w14:paraId="5BFD91C4" w14:textId="77777777" w:rsidR="00B42946" w:rsidRDefault="00000000">
            <w:pPr>
              <w:jc w:val="left"/>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Dochody majątkowe, w tym:</w:t>
            </w:r>
          </w:p>
        </w:tc>
        <w:tc>
          <w:tcPr>
            <w:tcW w:w="833" w:type="pct"/>
            <w:tcMar>
              <w:top w:w="11" w:type="dxa"/>
              <w:left w:w="85" w:type="dxa"/>
              <w:bottom w:w="6" w:type="dxa"/>
              <w:right w:w="85" w:type="dxa"/>
            </w:tcMar>
          </w:tcPr>
          <w:p w14:paraId="29CDF42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9 724 105,48</w:t>
            </w:r>
          </w:p>
        </w:tc>
        <w:tc>
          <w:tcPr>
            <w:tcW w:w="833" w:type="pct"/>
            <w:tcMar>
              <w:top w:w="11" w:type="dxa"/>
              <w:left w:w="85" w:type="dxa"/>
              <w:bottom w:w="6" w:type="dxa"/>
              <w:right w:w="85" w:type="dxa"/>
            </w:tcMar>
          </w:tcPr>
          <w:p w14:paraId="5D1B6D5A"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6 958 833,76</w:t>
            </w:r>
          </w:p>
        </w:tc>
        <w:tc>
          <w:tcPr>
            <w:tcW w:w="833" w:type="pct"/>
            <w:tcMar>
              <w:top w:w="11" w:type="dxa"/>
              <w:left w:w="85" w:type="dxa"/>
              <w:bottom w:w="6" w:type="dxa"/>
              <w:right w:w="85" w:type="dxa"/>
            </w:tcMar>
          </w:tcPr>
          <w:p w14:paraId="003F0DF6"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6 952 469,76</w:t>
            </w:r>
          </w:p>
        </w:tc>
        <w:tc>
          <w:tcPr>
            <w:tcW w:w="835" w:type="pct"/>
            <w:tcMar>
              <w:top w:w="11" w:type="dxa"/>
              <w:left w:w="85" w:type="dxa"/>
              <w:bottom w:w="6" w:type="dxa"/>
              <w:right w:w="85" w:type="dxa"/>
            </w:tcMar>
          </w:tcPr>
          <w:p w14:paraId="0E0737F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99,91%</w:t>
            </w:r>
          </w:p>
        </w:tc>
      </w:tr>
      <w:tr w:rsidR="00B42946" w14:paraId="7F3069ED"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177D31F8" w14:textId="77777777" w:rsidR="00B42946" w:rsidRDefault="00B42946">
            <w:pPr>
              <w:rPr>
                <w:i/>
                <w:iCs/>
                <w:sz w:val="15"/>
                <w:szCs w:val="15"/>
              </w:rPr>
            </w:pPr>
          </w:p>
        </w:tc>
        <w:tc>
          <w:tcPr>
            <w:tcW w:w="833" w:type="pct"/>
            <w:tcMar>
              <w:top w:w="11" w:type="dxa"/>
              <w:left w:w="85" w:type="dxa"/>
              <w:bottom w:w="6" w:type="dxa"/>
              <w:right w:w="85" w:type="dxa"/>
            </w:tcMar>
          </w:tcPr>
          <w:p w14:paraId="38F2BB94"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Dochody z majątku</w:t>
            </w:r>
          </w:p>
        </w:tc>
        <w:tc>
          <w:tcPr>
            <w:tcW w:w="833" w:type="pct"/>
            <w:tcMar>
              <w:top w:w="11" w:type="dxa"/>
              <w:left w:w="85" w:type="dxa"/>
              <w:bottom w:w="6" w:type="dxa"/>
              <w:right w:w="85" w:type="dxa"/>
            </w:tcMar>
          </w:tcPr>
          <w:p w14:paraId="5312F75A"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0,00</w:t>
            </w:r>
          </w:p>
        </w:tc>
        <w:tc>
          <w:tcPr>
            <w:tcW w:w="833" w:type="pct"/>
            <w:tcMar>
              <w:top w:w="11" w:type="dxa"/>
              <w:left w:w="85" w:type="dxa"/>
              <w:bottom w:w="6" w:type="dxa"/>
              <w:right w:w="85" w:type="dxa"/>
            </w:tcMar>
          </w:tcPr>
          <w:p w14:paraId="19A828B1"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800,00</w:t>
            </w:r>
          </w:p>
        </w:tc>
        <w:tc>
          <w:tcPr>
            <w:tcW w:w="833" w:type="pct"/>
            <w:tcMar>
              <w:top w:w="11" w:type="dxa"/>
              <w:left w:w="85" w:type="dxa"/>
              <w:bottom w:w="6" w:type="dxa"/>
              <w:right w:w="85" w:type="dxa"/>
            </w:tcMar>
          </w:tcPr>
          <w:p w14:paraId="632DBE7A"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800,00</w:t>
            </w:r>
          </w:p>
        </w:tc>
        <w:tc>
          <w:tcPr>
            <w:tcW w:w="835" w:type="pct"/>
            <w:tcMar>
              <w:top w:w="11" w:type="dxa"/>
              <w:left w:w="85" w:type="dxa"/>
              <w:bottom w:w="6" w:type="dxa"/>
              <w:right w:w="85" w:type="dxa"/>
            </w:tcMar>
          </w:tcPr>
          <w:p w14:paraId="6CF146A7"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100,00%</w:t>
            </w:r>
          </w:p>
        </w:tc>
      </w:tr>
      <w:tr w:rsidR="00B42946" w14:paraId="621848BA"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7F5CB3A3" w14:textId="77777777" w:rsidR="00B42946" w:rsidRDefault="00B42946">
            <w:pPr>
              <w:rPr>
                <w:i/>
                <w:iCs/>
                <w:sz w:val="15"/>
                <w:szCs w:val="15"/>
              </w:rPr>
            </w:pPr>
          </w:p>
        </w:tc>
        <w:tc>
          <w:tcPr>
            <w:tcW w:w="833" w:type="pct"/>
            <w:tcMar>
              <w:top w:w="11" w:type="dxa"/>
              <w:left w:w="85" w:type="dxa"/>
              <w:bottom w:w="6" w:type="dxa"/>
              <w:right w:w="85" w:type="dxa"/>
            </w:tcMar>
          </w:tcPr>
          <w:p w14:paraId="22646EE0"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Dotacje i środki na inwestycje</w:t>
            </w:r>
          </w:p>
        </w:tc>
        <w:tc>
          <w:tcPr>
            <w:tcW w:w="833" w:type="pct"/>
            <w:tcMar>
              <w:top w:w="11" w:type="dxa"/>
              <w:left w:w="85" w:type="dxa"/>
              <w:bottom w:w="6" w:type="dxa"/>
              <w:right w:w="85" w:type="dxa"/>
            </w:tcMar>
          </w:tcPr>
          <w:p w14:paraId="01FE4831"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9 724 105,48</w:t>
            </w:r>
          </w:p>
        </w:tc>
        <w:tc>
          <w:tcPr>
            <w:tcW w:w="833" w:type="pct"/>
            <w:tcMar>
              <w:top w:w="11" w:type="dxa"/>
              <w:left w:w="85" w:type="dxa"/>
              <w:bottom w:w="6" w:type="dxa"/>
              <w:right w:w="85" w:type="dxa"/>
            </w:tcMar>
          </w:tcPr>
          <w:p w14:paraId="132437DA"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6 947 220,41</w:t>
            </w:r>
          </w:p>
        </w:tc>
        <w:tc>
          <w:tcPr>
            <w:tcW w:w="833" w:type="pct"/>
            <w:tcMar>
              <w:top w:w="11" w:type="dxa"/>
              <w:left w:w="85" w:type="dxa"/>
              <w:bottom w:w="6" w:type="dxa"/>
              <w:right w:w="85" w:type="dxa"/>
            </w:tcMar>
          </w:tcPr>
          <w:p w14:paraId="6F7F5493"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6 940 856,41</w:t>
            </w:r>
          </w:p>
        </w:tc>
        <w:tc>
          <w:tcPr>
            <w:tcW w:w="835" w:type="pct"/>
            <w:tcMar>
              <w:top w:w="11" w:type="dxa"/>
              <w:left w:w="85" w:type="dxa"/>
              <w:bottom w:w="6" w:type="dxa"/>
              <w:right w:w="85" w:type="dxa"/>
            </w:tcMar>
          </w:tcPr>
          <w:p w14:paraId="02DC8CF5"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99,91%</w:t>
            </w:r>
          </w:p>
        </w:tc>
      </w:tr>
      <w:tr w:rsidR="00B42946" w14:paraId="72A66A77"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58AAEA7A" w14:textId="77777777" w:rsidR="00B42946" w:rsidRDefault="00B42946">
            <w:pPr>
              <w:rPr>
                <w:i/>
                <w:iCs/>
                <w:sz w:val="15"/>
                <w:szCs w:val="15"/>
              </w:rPr>
            </w:pPr>
          </w:p>
        </w:tc>
        <w:tc>
          <w:tcPr>
            <w:tcW w:w="833" w:type="pct"/>
            <w:tcMar>
              <w:top w:w="11" w:type="dxa"/>
              <w:left w:w="85" w:type="dxa"/>
              <w:bottom w:w="6" w:type="dxa"/>
              <w:right w:w="85" w:type="dxa"/>
            </w:tcMar>
          </w:tcPr>
          <w:p w14:paraId="2FF2322C"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Pozostałe dochody majątkowe</w:t>
            </w:r>
          </w:p>
        </w:tc>
        <w:tc>
          <w:tcPr>
            <w:tcW w:w="833" w:type="pct"/>
            <w:tcMar>
              <w:top w:w="11" w:type="dxa"/>
              <w:left w:w="85" w:type="dxa"/>
              <w:bottom w:w="6" w:type="dxa"/>
              <w:right w:w="85" w:type="dxa"/>
            </w:tcMar>
          </w:tcPr>
          <w:p w14:paraId="797B9261"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0,00</w:t>
            </w:r>
          </w:p>
        </w:tc>
        <w:tc>
          <w:tcPr>
            <w:tcW w:w="833" w:type="pct"/>
            <w:tcMar>
              <w:top w:w="11" w:type="dxa"/>
              <w:left w:w="85" w:type="dxa"/>
              <w:bottom w:w="6" w:type="dxa"/>
              <w:right w:w="85" w:type="dxa"/>
            </w:tcMar>
          </w:tcPr>
          <w:p w14:paraId="14AB8F9F"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10 813,35</w:t>
            </w:r>
          </w:p>
        </w:tc>
        <w:tc>
          <w:tcPr>
            <w:tcW w:w="833" w:type="pct"/>
            <w:tcMar>
              <w:top w:w="11" w:type="dxa"/>
              <w:left w:w="85" w:type="dxa"/>
              <w:bottom w:w="6" w:type="dxa"/>
              <w:right w:w="85" w:type="dxa"/>
            </w:tcMar>
          </w:tcPr>
          <w:p w14:paraId="14B18E52"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10 813,35</w:t>
            </w:r>
          </w:p>
        </w:tc>
        <w:tc>
          <w:tcPr>
            <w:tcW w:w="835" w:type="pct"/>
            <w:tcMar>
              <w:top w:w="11" w:type="dxa"/>
              <w:left w:w="85" w:type="dxa"/>
              <w:bottom w:w="6" w:type="dxa"/>
              <w:right w:w="85" w:type="dxa"/>
            </w:tcMar>
          </w:tcPr>
          <w:p w14:paraId="7AADA52B"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100,00%</w:t>
            </w:r>
          </w:p>
        </w:tc>
      </w:tr>
      <w:tr w:rsidR="00B42946" w14:paraId="043C7682"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754F3D34" w14:textId="77777777" w:rsidR="00B42946" w:rsidRDefault="00000000">
            <w:pPr>
              <w:jc w:val="center"/>
              <w:rPr>
                <w:b/>
                <w:bCs/>
                <w:sz w:val="15"/>
                <w:szCs w:val="15"/>
              </w:rPr>
            </w:pPr>
            <w:r>
              <w:rPr>
                <w:b/>
                <w:bCs/>
                <w:sz w:val="15"/>
                <w:szCs w:val="15"/>
              </w:rPr>
              <w:t>II.</w:t>
            </w:r>
          </w:p>
        </w:tc>
        <w:tc>
          <w:tcPr>
            <w:tcW w:w="833" w:type="pct"/>
            <w:tcMar>
              <w:top w:w="11" w:type="dxa"/>
              <w:left w:w="85" w:type="dxa"/>
              <w:bottom w:w="6" w:type="dxa"/>
              <w:right w:w="85" w:type="dxa"/>
            </w:tcMar>
          </w:tcPr>
          <w:p w14:paraId="7BEBFC55" w14:textId="77777777" w:rsidR="00B42946" w:rsidRDefault="00000000">
            <w:pPr>
              <w:jc w:val="left"/>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Wydatki ogółem, w tym:</w:t>
            </w:r>
          </w:p>
        </w:tc>
        <w:tc>
          <w:tcPr>
            <w:tcW w:w="833" w:type="pct"/>
            <w:tcMar>
              <w:top w:w="11" w:type="dxa"/>
              <w:left w:w="85" w:type="dxa"/>
              <w:bottom w:w="6" w:type="dxa"/>
              <w:right w:w="85" w:type="dxa"/>
            </w:tcMar>
          </w:tcPr>
          <w:p w14:paraId="273C403E"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82 110 006,00</w:t>
            </w:r>
          </w:p>
        </w:tc>
        <w:tc>
          <w:tcPr>
            <w:tcW w:w="833" w:type="pct"/>
            <w:tcMar>
              <w:top w:w="11" w:type="dxa"/>
              <w:left w:w="85" w:type="dxa"/>
              <w:bottom w:w="6" w:type="dxa"/>
              <w:right w:w="85" w:type="dxa"/>
            </w:tcMar>
          </w:tcPr>
          <w:p w14:paraId="4D794BA3"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82 695 645,46</w:t>
            </w:r>
          </w:p>
        </w:tc>
        <w:tc>
          <w:tcPr>
            <w:tcW w:w="833" w:type="pct"/>
            <w:tcMar>
              <w:top w:w="11" w:type="dxa"/>
              <w:left w:w="85" w:type="dxa"/>
              <w:bottom w:w="6" w:type="dxa"/>
              <w:right w:w="85" w:type="dxa"/>
            </w:tcMar>
          </w:tcPr>
          <w:p w14:paraId="41578023"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75 755 015,54</w:t>
            </w:r>
          </w:p>
        </w:tc>
        <w:tc>
          <w:tcPr>
            <w:tcW w:w="835" w:type="pct"/>
            <w:tcMar>
              <w:top w:w="11" w:type="dxa"/>
              <w:left w:w="85" w:type="dxa"/>
              <w:bottom w:w="6" w:type="dxa"/>
              <w:right w:w="85" w:type="dxa"/>
            </w:tcMar>
          </w:tcPr>
          <w:p w14:paraId="54DB82F9"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91,61%</w:t>
            </w:r>
          </w:p>
        </w:tc>
      </w:tr>
      <w:tr w:rsidR="00B42946" w14:paraId="4448B39B"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1E9B09DB" w14:textId="77777777" w:rsidR="00B42946" w:rsidRDefault="00000000">
            <w:pPr>
              <w:jc w:val="center"/>
              <w:rPr>
                <w:sz w:val="15"/>
                <w:szCs w:val="15"/>
              </w:rPr>
            </w:pPr>
            <w:r>
              <w:rPr>
                <w:sz w:val="15"/>
                <w:szCs w:val="15"/>
              </w:rPr>
              <w:t>1.</w:t>
            </w:r>
          </w:p>
        </w:tc>
        <w:tc>
          <w:tcPr>
            <w:tcW w:w="833" w:type="pct"/>
            <w:tcMar>
              <w:top w:w="11" w:type="dxa"/>
              <w:left w:w="85" w:type="dxa"/>
              <w:bottom w:w="6" w:type="dxa"/>
              <w:right w:w="85" w:type="dxa"/>
            </w:tcMar>
          </w:tcPr>
          <w:p w14:paraId="3CD5EBFA" w14:textId="77777777" w:rsidR="00B42946" w:rsidRDefault="00000000">
            <w:pPr>
              <w:jc w:val="left"/>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Wydatki bieżące</w:t>
            </w:r>
          </w:p>
        </w:tc>
        <w:tc>
          <w:tcPr>
            <w:tcW w:w="833" w:type="pct"/>
            <w:tcMar>
              <w:top w:w="11" w:type="dxa"/>
              <w:left w:w="85" w:type="dxa"/>
              <w:bottom w:w="6" w:type="dxa"/>
              <w:right w:w="85" w:type="dxa"/>
            </w:tcMar>
          </w:tcPr>
          <w:p w14:paraId="75CAB25B"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59 709 035,41</w:t>
            </w:r>
          </w:p>
        </w:tc>
        <w:tc>
          <w:tcPr>
            <w:tcW w:w="833" w:type="pct"/>
            <w:tcMar>
              <w:top w:w="11" w:type="dxa"/>
              <w:left w:w="85" w:type="dxa"/>
              <w:bottom w:w="6" w:type="dxa"/>
              <w:right w:w="85" w:type="dxa"/>
            </w:tcMar>
          </w:tcPr>
          <w:p w14:paraId="7C293368"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65 516 256,47</w:t>
            </w:r>
          </w:p>
        </w:tc>
        <w:tc>
          <w:tcPr>
            <w:tcW w:w="833" w:type="pct"/>
            <w:tcMar>
              <w:top w:w="11" w:type="dxa"/>
              <w:left w:w="85" w:type="dxa"/>
              <w:bottom w:w="6" w:type="dxa"/>
              <w:right w:w="85" w:type="dxa"/>
            </w:tcMar>
          </w:tcPr>
          <w:p w14:paraId="53A621C7"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59 130 188,48</w:t>
            </w:r>
          </w:p>
        </w:tc>
        <w:tc>
          <w:tcPr>
            <w:tcW w:w="835" w:type="pct"/>
            <w:tcMar>
              <w:top w:w="11" w:type="dxa"/>
              <w:left w:w="85" w:type="dxa"/>
              <w:bottom w:w="6" w:type="dxa"/>
              <w:right w:w="85" w:type="dxa"/>
            </w:tcMar>
          </w:tcPr>
          <w:p w14:paraId="276AB905"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90,25%</w:t>
            </w:r>
          </w:p>
        </w:tc>
      </w:tr>
      <w:tr w:rsidR="00B42946" w14:paraId="4E941FF2"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341F2364" w14:textId="77777777" w:rsidR="00B42946" w:rsidRDefault="00000000">
            <w:pPr>
              <w:jc w:val="center"/>
              <w:rPr>
                <w:sz w:val="15"/>
                <w:szCs w:val="15"/>
              </w:rPr>
            </w:pPr>
            <w:r>
              <w:rPr>
                <w:sz w:val="15"/>
                <w:szCs w:val="15"/>
              </w:rPr>
              <w:t>2.</w:t>
            </w:r>
          </w:p>
        </w:tc>
        <w:tc>
          <w:tcPr>
            <w:tcW w:w="833" w:type="pct"/>
            <w:tcMar>
              <w:top w:w="11" w:type="dxa"/>
              <w:left w:w="85" w:type="dxa"/>
              <w:bottom w:w="6" w:type="dxa"/>
              <w:right w:w="85" w:type="dxa"/>
            </w:tcMar>
          </w:tcPr>
          <w:p w14:paraId="299D8441" w14:textId="77777777" w:rsidR="00B42946" w:rsidRDefault="00000000">
            <w:pPr>
              <w:jc w:val="left"/>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Wydatki majątkowe, w tym:</w:t>
            </w:r>
          </w:p>
        </w:tc>
        <w:tc>
          <w:tcPr>
            <w:tcW w:w="833" w:type="pct"/>
            <w:tcMar>
              <w:top w:w="11" w:type="dxa"/>
              <w:left w:w="85" w:type="dxa"/>
              <w:bottom w:w="6" w:type="dxa"/>
              <w:right w:w="85" w:type="dxa"/>
            </w:tcMar>
          </w:tcPr>
          <w:p w14:paraId="1AE76BAF"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22 400 970,59</w:t>
            </w:r>
          </w:p>
        </w:tc>
        <w:tc>
          <w:tcPr>
            <w:tcW w:w="833" w:type="pct"/>
            <w:tcMar>
              <w:top w:w="11" w:type="dxa"/>
              <w:left w:w="85" w:type="dxa"/>
              <w:bottom w:w="6" w:type="dxa"/>
              <w:right w:w="85" w:type="dxa"/>
            </w:tcMar>
          </w:tcPr>
          <w:p w14:paraId="3B1AE9A6"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17 179 388,99</w:t>
            </w:r>
          </w:p>
        </w:tc>
        <w:tc>
          <w:tcPr>
            <w:tcW w:w="833" w:type="pct"/>
            <w:tcMar>
              <w:top w:w="11" w:type="dxa"/>
              <w:left w:w="85" w:type="dxa"/>
              <w:bottom w:w="6" w:type="dxa"/>
              <w:right w:w="85" w:type="dxa"/>
            </w:tcMar>
          </w:tcPr>
          <w:p w14:paraId="12824D5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16 624 827,06</w:t>
            </w:r>
          </w:p>
        </w:tc>
        <w:tc>
          <w:tcPr>
            <w:tcW w:w="835" w:type="pct"/>
            <w:tcMar>
              <w:top w:w="11" w:type="dxa"/>
              <w:left w:w="85" w:type="dxa"/>
              <w:bottom w:w="6" w:type="dxa"/>
              <w:right w:w="85" w:type="dxa"/>
            </w:tcMar>
          </w:tcPr>
          <w:p w14:paraId="2BDCBEE5"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96,77%</w:t>
            </w:r>
          </w:p>
        </w:tc>
      </w:tr>
      <w:tr w:rsidR="00B42946" w14:paraId="678A127C"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239A6F11" w14:textId="77777777" w:rsidR="00B42946" w:rsidRDefault="00B42946">
            <w:pPr>
              <w:rPr>
                <w:i/>
                <w:iCs/>
                <w:sz w:val="15"/>
                <w:szCs w:val="15"/>
              </w:rPr>
            </w:pPr>
          </w:p>
        </w:tc>
        <w:tc>
          <w:tcPr>
            <w:tcW w:w="833" w:type="pct"/>
            <w:tcMar>
              <w:top w:w="11" w:type="dxa"/>
              <w:left w:w="85" w:type="dxa"/>
              <w:bottom w:w="6" w:type="dxa"/>
              <w:right w:w="85" w:type="dxa"/>
            </w:tcMar>
          </w:tcPr>
          <w:p w14:paraId="76A3A515"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wydatki na inwestycje</w:t>
            </w:r>
          </w:p>
        </w:tc>
        <w:tc>
          <w:tcPr>
            <w:tcW w:w="833" w:type="pct"/>
            <w:tcMar>
              <w:top w:w="11" w:type="dxa"/>
              <w:left w:w="85" w:type="dxa"/>
              <w:bottom w:w="6" w:type="dxa"/>
              <w:right w:w="85" w:type="dxa"/>
            </w:tcMar>
          </w:tcPr>
          <w:p w14:paraId="7F010286"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22 300 970,59</w:t>
            </w:r>
          </w:p>
        </w:tc>
        <w:tc>
          <w:tcPr>
            <w:tcW w:w="833" w:type="pct"/>
            <w:tcMar>
              <w:top w:w="11" w:type="dxa"/>
              <w:left w:w="85" w:type="dxa"/>
              <w:bottom w:w="6" w:type="dxa"/>
              <w:right w:w="85" w:type="dxa"/>
            </w:tcMar>
          </w:tcPr>
          <w:p w14:paraId="64CABE19"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17 017 388,99</w:t>
            </w:r>
          </w:p>
        </w:tc>
        <w:tc>
          <w:tcPr>
            <w:tcW w:w="833" w:type="pct"/>
            <w:tcMar>
              <w:top w:w="11" w:type="dxa"/>
              <w:left w:w="85" w:type="dxa"/>
              <w:bottom w:w="6" w:type="dxa"/>
              <w:right w:w="85" w:type="dxa"/>
            </w:tcMar>
          </w:tcPr>
          <w:p w14:paraId="50EBA2D1"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16 462 827,06</w:t>
            </w:r>
          </w:p>
        </w:tc>
        <w:tc>
          <w:tcPr>
            <w:tcW w:w="835" w:type="pct"/>
            <w:tcMar>
              <w:top w:w="11" w:type="dxa"/>
              <w:left w:w="85" w:type="dxa"/>
              <w:bottom w:w="6" w:type="dxa"/>
              <w:right w:w="85" w:type="dxa"/>
            </w:tcMar>
          </w:tcPr>
          <w:p w14:paraId="7AD20EAE" w14:textId="77777777" w:rsidR="00B42946" w:rsidRDefault="00000000">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96,74%</w:t>
            </w:r>
          </w:p>
        </w:tc>
      </w:tr>
      <w:tr w:rsidR="00B42946" w14:paraId="6C6556C9"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36F400D4" w14:textId="77777777" w:rsidR="00B42946" w:rsidRDefault="00000000">
            <w:pPr>
              <w:jc w:val="center"/>
              <w:rPr>
                <w:b/>
                <w:bCs/>
                <w:sz w:val="15"/>
                <w:szCs w:val="15"/>
              </w:rPr>
            </w:pPr>
            <w:r>
              <w:rPr>
                <w:b/>
                <w:bCs/>
                <w:sz w:val="15"/>
                <w:szCs w:val="15"/>
              </w:rPr>
              <w:t>III.</w:t>
            </w:r>
          </w:p>
        </w:tc>
        <w:tc>
          <w:tcPr>
            <w:tcW w:w="833" w:type="pct"/>
            <w:tcMar>
              <w:top w:w="11" w:type="dxa"/>
              <w:left w:w="85" w:type="dxa"/>
              <w:bottom w:w="6" w:type="dxa"/>
              <w:right w:w="85" w:type="dxa"/>
            </w:tcMar>
          </w:tcPr>
          <w:p w14:paraId="49D0A06E" w14:textId="77777777" w:rsidR="00B42946" w:rsidRDefault="00000000">
            <w:pPr>
              <w:jc w:val="left"/>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Wynik +/- (I-II)</w:t>
            </w:r>
          </w:p>
        </w:tc>
        <w:tc>
          <w:tcPr>
            <w:tcW w:w="833" w:type="pct"/>
            <w:tcMar>
              <w:top w:w="11" w:type="dxa"/>
              <w:left w:w="85" w:type="dxa"/>
              <w:bottom w:w="6" w:type="dxa"/>
              <w:right w:w="85" w:type="dxa"/>
            </w:tcMar>
          </w:tcPr>
          <w:p w14:paraId="63A76683"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-7 673 442,00</w:t>
            </w:r>
          </w:p>
        </w:tc>
        <w:tc>
          <w:tcPr>
            <w:tcW w:w="833" w:type="pct"/>
            <w:tcMar>
              <w:top w:w="11" w:type="dxa"/>
              <w:left w:w="85" w:type="dxa"/>
              <w:bottom w:w="6" w:type="dxa"/>
              <w:right w:w="85" w:type="dxa"/>
            </w:tcMar>
          </w:tcPr>
          <w:p w14:paraId="2814A587"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-4 831 387,00</w:t>
            </w:r>
          </w:p>
        </w:tc>
        <w:tc>
          <w:tcPr>
            <w:tcW w:w="833" w:type="pct"/>
            <w:tcMar>
              <w:top w:w="11" w:type="dxa"/>
              <w:left w:w="85" w:type="dxa"/>
              <w:bottom w:w="6" w:type="dxa"/>
              <w:right w:w="85" w:type="dxa"/>
            </w:tcMar>
          </w:tcPr>
          <w:p w14:paraId="3B1F0223"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3 517 012,31</w:t>
            </w:r>
          </w:p>
        </w:tc>
        <w:tc>
          <w:tcPr>
            <w:tcW w:w="835" w:type="pct"/>
            <w:tcMar>
              <w:top w:w="11" w:type="dxa"/>
              <w:left w:w="85" w:type="dxa"/>
              <w:bottom w:w="6" w:type="dxa"/>
              <w:right w:w="85" w:type="dxa"/>
            </w:tcMar>
          </w:tcPr>
          <w:p w14:paraId="2FA1C73E"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w:t>
            </w:r>
          </w:p>
        </w:tc>
      </w:tr>
      <w:tr w:rsidR="00B42946" w14:paraId="0A6F9A7B" w14:textId="77777777" w:rsidTr="00B42946">
        <w:tc>
          <w:tcPr>
            <w:cnfStyle w:val="001000000000" w:firstRow="0" w:lastRow="0" w:firstColumn="1" w:lastColumn="0" w:oddVBand="0" w:evenVBand="0" w:oddHBand="0" w:evenHBand="0" w:firstRowFirstColumn="0" w:firstRowLastColumn="0" w:lastRowFirstColumn="0" w:lastRowLastColumn="0"/>
            <w:tcW w:w="833" w:type="pct"/>
            <w:tcMar>
              <w:top w:w="11" w:type="dxa"/>
              <w:left w:w="85" w:type="dxa"/>
              <w:bottom w:w="6" w:type="dxa"/>
              <w:right w:w="85" w:type="dxa"/>
            </w:tcMar>
          </w:tcPr>
          <w:p w14:paraId="06BF3EE1" w14:textId="77777777" w:rsidR="00B42946" w:rsidRDefault="00000000">
            <w:pPr>
              <w:jc w:val="center"/>
              <w:rPr>
                <w:b/>
                <w:bCs/>
                <w:sz w:val="15"/>
                <w:szCs w:val="15"/>
              </w:rPr>
            </w:pPr>
            <w:r>
              <w:rPr>
                <w:b/>
                <w:bCs/>
                <w:sz w:val="15"/>
                <w:szCs w:val="15"/>
              </w:rPr>
              <w:t>IV.</w:t>
            </w:r>
          </w:p>
        </w:tc>
        <w:tc>
          <w:tcPr>
            <w:tcW w:w="833" w:type="pct"/>
            <w:tcMar>
              <w:top w:w="11" w:type="dxa"/>
              <w:left w:w="85" w:type="dxa"/>
              <w:bottom w:w="6" w:type="dxa"/>
              <w:right w:w="85" w:type="dxa"/>
            </w:tcMar>
          </w:tcPr>
          <w:p w14:paraId="71DBF9E7" w14:textId="77777777" w:rsidR="00B42946" w:rsidRDefault="00000000">
            <w:pPr>
              <w:jc w:val="left"/>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Różnica między dochodami bieżącymi a wydatkami bieżącymi</w:t>
            </w:r>
          </w:p>
        </w:tc>
        <w:tc>
          <w:tcPr>
            <w:tcW w:w="833" w:type="pct"/>
            <w:tcMar>
              <w:top w:w="11" w:type="dxa"/>
              <w:left w:w="85" w:type="dxa"/>
              <w:bottom w:w="6" w:type="dxa"/>
              <w:right w:w="85" w:type="dxa"/>
            </w:tcMar>
          </w:tcPr>
          <w:p w14:paraId="1F0F0DA7"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5 003 423,11</w:t>
            </w:r>
          </w:p>
        </w:tc>
        <w:tc>
          <w:tcPr>
            <w:tcW w:w="833" w:type="pct"/>
            <w:tcMar>
              <w:top w:w="11" w:type="dxa"/>
              <w:left w:w="85" w:type="dxa"/>
              <w:bottom w:w="6" w:type="dxa"/>
              <w:right w:w="85" w:type="dxa"/>
            </w:tcMar>
          </w:tcPr>
          <w:p w14:paraId="1F8B8787"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5 389 168,23</w:t>
            </w:r>
          </w:p>
        </w:tc>
        <w:tc>
          <w:tcPr>
            <w:tcW w:w="833" w:type="pct"/>
            <w:tcMar>
              <w:top w:w="11" w:type="dxa"/>
              <w:left w:w="85" w:type="dxa"/>
              <w:bottom w:w="6" w:type="dxa"/>
              <w:right w:w="85" w:type="dxa"/>
            </w:tcMar>
          </w:tcPr>
          <w:p w14:paraId="46DB00F0"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13 189 369,61</w:t>
            </w:r>
          </w:p>
        </w:tc>
        <w:tc>
          <w:tcPr>
            <w:tcW w:w="835" w:type="pct"/>
            <w:tcMar>
              <w:top w:w="11" w:type="dxa"/>
              <w:left w:w="85" w:type="dxa"/>
              <w:bottom w:w="6" w:type="dxa"/>
              <w:right w:w="85" w:type="dxa"/>
            </w:tcMar>
          </w:tcPr>
          <w:p w14:paraId="5ABFC82F"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w:t>
            </w:r>
          </w:p>
        </w:tc>
      </w:tr>
    </w:tbl>
    <w:p w14:paraId="76860745" w14:textId="77777777" w:rsidR="00B42946" w:rsidRDefault="00B42946">
      <w:pPr>
        <w:jc w:val="both"/>
      </w:pPr>
    </w:p>
    <w:p w14:paraId="0ED1D0D0" w14:textId="77777777" w:rsidR="00B42946" w:rsidRDefault="00000000">
      <w:pPr>
        <w:jc w:val="both"/>
      </w:pPr>
      <w:r>
        <w:t>Na koniec  wystąpiła nadwyżka budżetowa w kwocie 3 517 012,31 zł. Różnica między dochodami bieżącymi a wydatkami bieżącymi (wynik budżetu bieżącego) wynosi 13 189 369,61 zł.</w:t>
      </w:r>
    </w:p>
    <w:p w14:paraId="22448106" w14:textId="77777777" w:rsidR="00B42946" w:rsidRDefault="00000000">
      <w:pPr>
        <w:pStyle w:val="SmallSubtitle"/>
      </w:pPr>
      <w:r>
        <w:t>Dochody</w:t>
      </w:r>
    </w:p>
    <w:p w14:paraId="39168544" w14:textId="77777777" w:rsidR="00B42946" w:rsidRDefault="00000000">
      <w:pPr>
        <w:jc w:val="both"/>
      </w:pPr>
      <w:r>
        <w:t>Dochody budżetu Gminy w 2025 roku wyniosły 79 272 027,85 zł, a ich realizacja stanowiła 101,81% planu wynoszącego 77 864 258,46 zł. W strukturze dochodów znaczący udział odgrywają dochody bieżące, które w 2025 roku zostały wykonane na poziomie 72 319 558,09 zł, tj. w 101,99% w stosunku do planu wynoszącego 70 905 424,70 zł. Dochody majątkowe Gminy Godziesze Wielkie w 2025 roku zostały wykonane na poziomie 6 952 469,76 zł, tj. w 99,91% w stosunku do planu wynoszącego 6 958 833,76 zł.</w:t>
      </w:r>
    </w:p>
    <w:p w14:paraId="3003637C" w14:textId="77777777" w:rsidR="00B42946" w:rsidRDefault="00000000">
      <w:pPr>
        <w:pStyle w:val="SmallSubtitle"/>
      </w:pPr>
      <w:r>
        <w:lastRenderedPageBreak/>
        <w:t>Dotacje i dochody celowe bieżące</w:t>
      </w:r>
    </w:p>
    <w:p w14:paraId="0D0C6776" w14:textId="77777777" w:rsidR="00B42946" w:rsidRDefault="00000000">
      <w:pPr>
        <w:jc w:val="both"/>
      </w:pPr>
      <w:r>
        <w:t>Biorąc pod uwagę podział dochodów bieżących wg źródeł ich pochodzenia znaczący udział w 2025 roku stanowiły dochody o charakterze celowym, które JST otrzymuje od podmiotów zewnętrznych. W 2025 roku środki te zostały zaplanowane w kwocie 9 944 165,99 zł, z kolei zrealizowane na poziomie 9 889 087,73 zł, co stanowi 99,45% realizacji planu, przy czym:</w:t>
      </w:r>
    </w:p>
    <w:p w14:paraId="2FE9E46C" w14:textId="77777777" w:rsidR="00B42946" w:rsidRDefault="00000000">
      <w:pPr>
        <w:pStyle w:val="Akapitzlist"/>
        <w:numPr>
          <w:ilvl w:val="0"/>
          <w:numId w:val="25"/>
        </w:numPr>
        <w:jc w:val="both"/>
      </w:pPr>
      <w:r>
        <w:t>dotacje celowe otrzymane z budżetu państwa na realizację zadań z zakresu administracji rządowej wyniosły 8 015 164,59 zł;</w:t>
      </w:r>
    </w:p>
    <w:p w14:paraId="3AECD2CF" w14:textId="77777777" w:rsidR="00B42946" w:rsidRDefault="00000000">
      <w:pPr>
        <w:pStyle w:val="Akapitzlist"/>
        <w:numPr>
          <w:ilvl w:val="0"/>
          <w:numId w:val="25"/>
        </w:numPr>
        <w:jc w:val="both"/>
      </w:pPr>
      <w:r>
        <w:t>dotacje na realizację zadań realizowanych na mocy porozumień z organami administracji rządowej 29 200,00 zł;</w:t>
      </w:r>
    </w:p>
    <w:p w14:paraId="2A60254B" w14:textId="77777777" w:rsidR="00B42946" w:rsidRDefault="00000000">
      <w:pPr>
        <w:pStyle w:val="Akapitzlist"/>
        <w:numPr>
          <w:ilvl w:val="0"/>
          <w:numId w:val="25"/>
        </w:numPr>
        <w:jc w:val="both"/>
      </w:pPr>
      <w:r>
        <w:t>dotacje celowe otrzymane z budżetu państwa na zadania własne 932 805,21 zł;</w:t>
      </w:r>
    </w:p>
    <w:p w14:paraId="45837CC5" w14:textId="77777777" w:rsidR="00B42946" w:rsidRDefault="00000000">
      <w:pPr>
        <w:pStyle w:val="Akapitzlist"/>
        <w:numPr>
          <w:ilvl w:val="0"/>
          <w:numId w:val="25"/>
        </w:numPr>
        <w:jc w:val="both"/>
      </w:pPr>
      <w:r>
        <w:t>dochody z dotacji na zadania realizowane na podstawie porozumień między jednostkami samorządu terytorialnego 85 074,86 zł;</w:t>
      </w:r>
    </w:p>
    <w:p w14:paraId="60567931" w14:textId="77777777" w:rsidR="00B42946" w:rsidRDefault="00000000">
      <w:pPr>
        <w:pStyle w:val="Akapitzlist"/>
        <w:numPr>
          <w:ilvl w:val="0"/>
          <w:numId w:val="25"/>
        </w:numPr>
        <w:jc w:val="both"/>
      </w:pPr>
      <w:r>
        <w:t>dochody z dotacji w ramach programów finansowanych z udziałem środków europejskich 120 000,00 zł (w tym na realizację programu, projektu lub zadania finansowanego z udziałem środków, o których mowa w art. 5 ust. 1 pkt 2 ustawy 120 000,00 zł);</w:t>
      </w:r>
    </w:p>
    <w:p w14:paraId="70742EA8" w14:textId="77777777" w:rsidR="00B42946" w:rsidRDefault="00000000">
      <w:pPr>
        <w:pStyle w:val="Akapitzlist"/>
        <w:numPr>
          <w:ilvl w:val="0"/>
          <w:numId w:val="25"/>
        </w:numPr>
        <w:jc w:val="both"/>
      </w:pPr>
      <w:r>
        <w:t>pozostałe dochody o charakterze celowym 706 843,07 zł.</w:t>
      </w:r>
    </w:p>
    <w:p w14:paraId="342EC56A" w14:textId="77777777" w:rsidR="00B42946" w:rsidRDefault="00000000">
      <w:pPr>
        <w:pStyle w:val="SmallSubtitle"/>
      </w:pPr>
      <w:r>
        <w:t>Subwencja ogólna</w:t>
      </w:r>
    </w:p>
    <w:p w14:paraId="01583A05" w14:textId="77777777" w:rsidR="00B42946" w:rsidRDefault="00000000">
      <w:pPr>
        <w:jc w:val="both"/>
      </w:pPr>
      <w:r>
        <w:t>Dochody z subwencji w 2025 roku zostały zaplanowane na poziomie 16 445 024,95 zł, natomiast zrealizowane w kwocie 16 445 024,95 zł, co stanowi 100,00% realizacji planu, przy czym:</w:t>
      </w:r>
    </w:p>
    <w:p w14:paraId="30B6825F" w14:textId="77777777" w:rsidR="00B42946" w:rsidRDefault="00000000">
      <w:pPr>
        <w:pStyle w:val="Akapitzlist"/>
        <w:numPr>
          <w:ilvl w:val="0"/>
          <w:numId w:val="26"/>
        </w:numPr>
        <w:jc w:val="both"/>
      </w:pPr>
      <w:r>
        <w:t>dochody stanowiące uzupełnienie subwencji ogólnej wyniosły 1 572 968,48 zł.</w:t>
      </w:r>
    </w:p>
    <w:p w14:paraId="64B444F6" w14:textId="77777777" w:rsidR="00B42946" w:rsidRDefault="00000000">
      <w:pPr>
        <w:pStyle w:val="SmallSubtitle"/>
      </w:pPr>
      <w:r>
        <w:t>Udział w podatkach stanowiących dochód budżetu państwa</w:t>
      </w:r>
    </w:p>
    <w:p w14:paraId="72C67D86" w14:textId="77777777" w:rsidR="00B42946" w:rsidRDefault="00000000">
      <w:pPr>
        <w:jc w:val="both"/>
      </w:pPr>
      <w:r>
        <w:t>Udziały w podatkach stanowiących dochód budżetu państwa zaplanowane zostały w kwocie 27 996 418,71 zł, zaś zrealizowane w kwocie 27 996 418,71 zł, co stanowi 100,00% realizacji planu, przy czym:</w:t>
      </w:r>
    </w:p>
    <w:p w14:paraId="43CA7245" w14:textId="77777777" w:rsidR="00B42946" w:rsidRDefault="00000000">
      <w:pPr>
        <w:pStyle w:val="Akapitzlist"/>
        <w:numPr>
          <w:ilvl w:val="0"/>
          <w:numId w:val="27"/>
        </w:numPr>
        <w:jc w:val="both"/>
      </w:pPr>
      <w:r>
        <w:t>dochody z tytułu wpływów z podatku od osób prawnych wyniosły 133 150,67 zł;</w:t>
      </w:r>
    </w:p>
    <w:p w14:paraId="488E8CD2" w14:textId="77777777" w:rsidR="00B42946" w:rsidRDefault="00000000">
      <w:pPr>
        <w:pStyle w:val="Akapitzlist"/>
        <w:numPr>
          <w:ilvl w:val="0"/>
          <w:numId w:val="27"/>
        </w:numPr>
        <w:jc w:val="both"/>
      </w:pPr>
      <w:r>
        <w:t>dochody z tytułu wpływów z podatku od osób fizycznych wyniosły 27 863 268,04 zł.</w:t>
      </w:r>
    </w:p>
    <w:p w14:paraId="1FBD2045" w14:textId="77777777" w:rsidR="00B42946" w:rsidRDefault="00000000">
      <w:pPr>
        <w:pStyle w:val="SmallSubtitle"/>
      </w:pPr>
      <w:r>
        <w:t>Wpływy z podatków i opłat lokalnych</w:t>
      </w:r>
    </w:p>
    <w:p w14:paraId="358BB196" w14:textId="77777777" w:rsidR="00B42946" w:rsidRDefault="00000000">
      <w:pPr>
        <w:pStyle w:val="Nagwek5"/>
        <w:jc w:val="both"/>
      </w:pPr>
      <w:r>
        <w:t>Podatek od nieruchomości</w:t>
      </w:r>
    </w:p>
    <w:p w14:paraId="4B289C03" w14:textId="77777777" w:rsidR="00B42946" w:rsidRDefault="00000000">
      <w:pPr>
        <w:jc w:val="both"/>
      </w:pPr>
      <w:r>
        <w:t>Wpływy z podatku od nieruchomości w 2025 roku zostały zrealizowane w kwocie 4 814 723,51 zł, co stanowi 108,95% realizacji planu wynoszącego 4 419 258,00 zł, w tym 2 418 962,00 zł od osób prawnych i 2 395 761,51 zł od osób fizycznych. Zaległości podatkowe na dzień 31 grudnia 2025 roku wynoszą 0,00 zł, w tym 0,00 zł od osób prawnych i 0,00 zł od osób fizycznych.</w:t>
      </w:r>
    </w:p>
    <w:p w14:paraId="6FF5F4BB" w14:textId="77777777" w:rsidR="00B42946" w:rsidRDefault="00000000">
      <w:pPr>
        <w:pStyle w:val="Nagwek5"/>
        <w:jc w:val="both"/>
      </w:pPr>
      <w:r>
        <w:t>Podatek rolny</w:t>
      </w:r>
    </w:p>
    <w:p w14:paraId="49BA9B60" w14:textId="77777777" w:rsidR="00B42946" w:rsidRDefault="00000000">
      <w:pPr>
        <w:jc w:val="both"/>
      </w:pPr>
      <w:r>
        <w:t>Wpływy z podatku rolnego w 2025 roku zostały zrealizowane w kwocie 355 702,31 zł, co stanowi 102,49% realizacji planu wynoszącego 347 063,00 zł, w tym 169,00 zł od osób prawnych i 355 533,31 zł od osób fizycznych. Zaległości podatkowe na dzień 31 grudnia 2025 roku wynoszą 0,00 zł, w tym 0,00 zł od osób prawnych i 0,00 zł od osób fizycznych.</w:t>
      </w:r>
    </w:p>
    <w:p w14:paraId="16E78C04" w14:textId="77777777" w:rsidR="00B42946" w:rsidRDefault="00000000">
      <w:pPr>
        <w:pStyle w:val="Nagwek5"/>
        <w:jc w:val="both"/>
      </w:pPr>
      <w:r>
        <w:t>Podatek leśny</w:t>
      </w:r>
    </w:p>
    <w:p w14:paraId="4BF33CA2" w14:textId="77777777" w:rsidR="00B42946" w:rsidRDefault="00000000">
      <w:pPr>
        <w:jc w:val="both"/>
      </w:pPr>
      <w:r>
        <w:t>Wpływy z podatku leśnego w 2025 roku zostały zrealizowane w kwocie 80 925,34 zł, co stanowi 100,00% realizacji planu wynoszącego 80 924,00 zł, w tym 31 987,00 zł od osób prawnych i 48 938,34 zł od osób fizycznych. Zaległości podatkowe na dzień 31 grudnia 2025 roku wynoszą 0,00 zł, w tym 0,00 zł od osób prawnych i 0,00 zł od osób fizycznych.</w:t>
      </w:r>
    </w:p>
    <w:p w14:paraId="4D6A021F" w14:textId="77777777" w:rsidR="00B42946" w:rsidRDefault="00000000">
      <w:pPr>
        <w:pStyle w:val="Nagwek5"/>
        <w:jc w:val="both"/>
      </w:pPr>
      <w:r>
        <w:t>Podatek od środków transportowych</w:t>
      </w:r>
    </w:p>
    <w:p w14:paraId="76E02EFB" w14:textId="77777777" w:rsidR="00B42946" w:rsidRDefault="00000000">
      <w:pPr>
        <w:jc w:val="both"/>
      </w:pPr>
      <w:r>
        <w:t>Wpływy z podatku od środków transportowych w 2025 roku zostały zrealizowane w kwocie 914 242,76 zł, co stanowi 108,84% realizacji planu wynoszącego 840 000,00 zł, w tym 51 694,90 zł od osób prawnych i 862 547,86 zł od osób fizycznych. Zaległości podatkowe na dzień 31 grudnia 2025 roku wynoszą 0,00 zł, w tym 0,00 zł od osób prawnych i 0,00 zł od osób fizycznych.</w:t>
      </w:r>
    </w:p>
    <w:p w14:paraId="11775D94" w14:textId="77777777" w:rsidR="00B42946" w:rsidRDefault="00000000">
      <w:pPr>
        <w:pStyle w:val="Nagwek5"/>
        <w:jc w:val="both"/>
      </w:pPr>
      <w:r>
        <w:lastRenderedPageBreak/>
        <w:t>Podatek od działalności gospodarczej osób fizycznych, opłacany w formie karty podatkowej</w:t>
      </w:r>
    </w:p>
    <w:p w14:paraId="2B4DBD20" w14:textId="77777777" w:rsidR="00B42946" w:rsidRDefault="00000000">
      <w:pPr>
        <w:jc w:val="both"/>
      </w:pPr>
      <w:r>
        <w:t>Wpływy z podatku od działalności gospodarczej osób fizycznych, opłacanego w formie karty podatkowej w 2025 roku zostały zrealizowane w kwocie 14 843,07 zł, co stanowi 114,18% realizacji planu wynoszącego 13 000,00 zł. Zaległości podatkowe na dzień 31 grudnia 2025 roku wynoszą 0,00 zł.</w:t>
      </w:r>
    </w:p>
    <w:p w14:paraId="605D3D9A" w14:textId="77777777" w:rsidR="00B42946" w:rsidRDefault="00000000">
      <w:pPr>
        <w:pStyle w:val="Nagwek5"/>
        <w:jc w:val="both"/>
      </w:pPr>
      <w:r>
        <w:t>Podatek od spadków i darowizn</w:t>
      </w:r>
    </w:p>
    <w:p w14:paraId="741139FF" w14:textId="77777777" w:rsidR="00B42946" w:rsidRDefault="00000000">
      <w:pPr>
        <w:jc w:val="both"/>
      </w:pPr>
      <w:r>
        <w:t>Wpływy z podatku od spadków i darowizn w 2025 roku zostały zrealizowane w kwocie 135 448,90 zł, co stanowi 124,33% realizacji planu wynoszącego 108 941,90 zł. Zaległości podatkowe na dzień 31 grudnia 2025 roku wynoszą 0,00 zł.</w:t>
      </w:r>
    </w:p>
    <w:p w14:paraId="53EAF1E8" w14:textId="77777777" w:rsidR="00B42946" w:rsidRDefault="00000000">
      <w:pPr>
        <w:pStyle w:val="Nagwek5"/>
        <w:jc w:val="both"/>
      </w:pPr>
      <w:r>
        <w:t>Podatek od czynności cywilnoprawnych</w:t>
      </w:r>
    </w:p>
    <w:p w14:paraId="774F3E4D" w14:textId="77777777" w:rsidR="00B42946" w:rsidRDefault="00000000">
      <w:pPr>
        <w:jc w:val="both"/>
      </w:pPr>
      <w:r>
        <w:t>Wpływy z podatku od czynności cywilnoprawnych w 2025 roku zostały zrealizowane w kwocie 866 745,20 zł, co stanowi 127,80% realizacji planu wynoszącego 678 226,72 zł, w tym 1 637,00 zł od osób prawnych i 865 108,20 zł od osób fizycznych. Zaległości podatkowe na dzień 31 grudnia 2025 roku wynoszą 0,00 zł, w tym 0,00 zł od osób prawnych i 0,00 zł od osób fizycznych.</w:t>
      </w:r>
    </w:p>
    <w:p w14:paraId="3615F4D4" w14:textId="77777777" w:rsidR="00B42946" w:rsidRDefault="00000000">
      <w:pPr>
        <w:pStyle w:val="Nagwek5"/>
        <w:jc w:val="both"/>
      </w:pPr>
      <w:r>
        <w:t>Wpływy z opłaty skarbowej</w:t>
      </w:r>
    </w:p>
    <w:p w14:paraId="035E2F61" w14:textId="77777777" w:rsidR="00B42946" w:rsidRDefault="00000000">
      <w:pPr>
        <w:jc w:val="both"/>
      </w:pPr>
      <w:r>
        <w:t>Wpływy z opłaty skarbowej w 2025 roku zostały zrealizowane w kwocie 59 187,00 zł, co stanowi 121,53% realizacji planu wynoszącego 48 701,00 zł.</w:t>
      </w:r>
    </w:p>
    <w:p w14:paraId="4F4C3EDB" w14:textId="77777777" w:rsidR="00B42946" w:rsidRDefault="00000000">
      <w:pPr>
        <w:pStyle w:val="Nagwek5"/>
        <w:jc w:val="both"/>
      </w:pPr>
      <w:r>
        <w:t>Wpływy z opłaty eksploatacyjnej</w:t>
      </w:r>
    </w:p>
    <w:p w14:paraId="3B142E40" w14:textId="77777777" w:rsidR="00B42946" w:rsidRDefault="00000000">
      <w:pPr>
        <w:jc w:val="both"/>
      </w:pPr>
      <w:r>
        <w:t>Wpływy z opłaty eksploatacyjnej w 2025 roku zostały zrealizowane w kwocie 13 404,60 zł, co stanowi 95,75% realizacji planu wynoszącego 14 000,00 zł.</w:t>
      </w:r>
    </w:p>
    <w:p w14:paraId="103F2D29" w14:textId="77777777" w:rsidR="00B42946" w:rsidRDefault="00000000">
      <w:pPr>
        <w:pStyle w:val="Nagwek5"/>
        <w:jc w:val="both"/>
      </w:pPr>
      <w:r>
        <w:t>Wpływy z opłat lokalnych</w:t>
      </w:r>
    </w:p>
    <w:p w14:paraId="62B4448D" w14:textId="77777777" w:rsidR="00B42946" w:rsidRDefault="00000000">
      <w:pPr>
        <w:jc w:val="both"/>
      </w:pPr>
      <w:r>
        <w:t>Wpływy z opłat w 2025 roku zostały zaplanowane na poziomie 4 267 395,49 zł, natomiast zrealizowane w kwocie 4 245 981,90 zł, co stanowi 99,50% realizacji planu. Najwyższe wpływy z opłat zrealizowane zostały z:</w:t>
      </w:r>
    </w:p>
    <w:p w14:paraId="38B6BA14" w14:textId="77777777" w:rsidR="00B42946" w:rsidRDefault="00000000">
      <w:pPr>
        <w:pStyle w:val="Akapitzlist"/>
        <w:numPr>
          <w:ilvl w:val="0"/>
          <w:numId w:val="28"/>
        </w:numPr>
        <w:jc w:val="both"/>
      </w:pPr>
      <w:r>
        <w:t>§049 (wpływy z innych lokalnych opłat pobieranych przez jednostki samorządu terytorialnego na podstawie odrębnych ustaw) – 3 116 149,03 zł;</w:t>
      </w:r>
    </w:p>
    <w:p w14:paraId="550D5779" w14:textId="77777777" w:rsidR="00B42946" w:rsidRDefault="00000000">
      <w:pPr>
        <w:pStyle w:val="Akapitzlist"/>
        <w:numPr>
          <w:ilvl w:val="0"/>
          <w:numId w:val="28"/>
        </w:numPr>
        <w:jc w:val="both"/>
      </w:pPr>
      <w:r>
        <w:t>§067 (wpływy z opłat za korzystanie z wyżywienia w jednostkach realizujących zadania z zakresu wychowania przedszkolnego) – 605 671,70 zł;</w:t>
      </w:r>
    </w:p>
    <w:p w14:paraId="7BE19E5C" w14:textId="77777777" w:rsidR="00B42946" w:rsidRDefault="00000000">
      <w:pPr>
        <w:pStyle w:val="Akapitzlist"/>
        <w:numPr>
          <w:ilvl w:val="0"/>
          <w:numId w:val="28"/>
        </w:numPr>
        <w:jc w:val="both"/>
      </w:pPr>
      <w:r>
        <w:t>§048 (wpływy z opłat za zezwolenia na sprzedaż napojów alkoholowych) – 217 285,88 zł;</w:t>
      </w:r>
    </w:p>
    <w:p w14:paraId="198534B9" w14:textId="77777777" w:rsidR="00B42946" w:rsidRDefault="00000000">
      <w:pPr>
        <w:pStyle w:val="Akapitzlist"/>
        <w:numPr>
          <w:ilvl w:val="0"/>
          <w:numId w:val="28"/>
        </w:numPr>
        <w:jc w:val="both"/>
      </w:pPr>
      <w:r>
        <w:t>§066 (wpływy z opłat za korzystanie z wychowania przedszkolnego) – 96 415,04 zł;</w:t>
      </w:r>
    </w:p>
    <w:p w14:paraId="26445614" w14:textId="77777777" w:rsidR="00B42946" w:rsidRDefault="00000000">
      <w:pPr>
        <w:pStyle w:val="Akapitzlist"/>
        <w:numPr>
          <w:ilvl w:val="0"/>
          <w:numId w:val="28"/>
        </w:numPr>
        <w:jc w:val="both"/>
      </w:pPr>
      <w:r>
        <w:t>§062 (wpływy z opłat za zezwolenia, akredytacje oraz opłaty ewidencyjne, w tym opłaty za częstotliwości) – 63 766,90 zł.</w:t>
      </w:r>
    </w:p>
    <w:p w14:paraId="26A711F0" w14:textId="77777777" w:rsidR="00B42946" w:rsidRDefault="00000000">
      <w:pPr>
        <w:pStyle w:val="SmallSubtitle"/>
      </w:pPr>
      <w:r>
        <w:t>Pozostałe dochody bieżące</w:t>
      </w:r>
    </w:p>
    <w:p w14:paraId="7267E167" w14:textId="77777777" w:rsidR="00B42946" w:rsidRDefault="00000000">
      <w:pPr>
        <w:jc w:val="both"/>
      </w:pPr>
      <w:r>
        <w:t>Pozostałe dochody bieżące to dochody niesklasyfikowane w ramach wcześniejszych grup. W okresie sprawozdawczym przewidywano wykonanie na poziomie 5 702 304,94 zł. Plan został wykonany w kwocie 6 487 822,11 zł, co stanowi 113,78% założeń.</w:t>
      </w:r>
    </w:p>
    <w:p w14:paraId="163F159F" w14:textId="77777777" w:rsidR="00B42946" w:rsidRDefault="00000000">
      <w:pPr>
        <w:pStyle w:val="SmallSubtitle"/>
      </w:pPr>
      <w:r>
        <w:t>Dochody z majątku</w:t>
      </w:r>
    </w:p>
    <w:p w14:paraId="0D2D2924" w14:textId="77777777" w:rsidR="00B42946" w:rsidRDefault="00000000">
      <w:pPr>
        <w:jc w:val="both"/>
      </w:pPr>
      <w:r>
        <w:t>Dochody z majątku w 2025 roku zostały zaplanowane na poziomie 800,00 zł, natomiast zrealizowane w kwocie 800,00 zł, co stanowi 100,00% realizacji planu, przy czym:</w:t>
      </w:r>
    </w:p>
    <w:p w14:paraId="188FFC48" w14:textId="77777777" w:rsidR="00B42946" w:rsidRDefault="00000000">
      <w:pPr>
        <w:pStyle w:val="Akapitzlist"/>
        <w:numPr>
          <w:ilvl w:val="0"/>
          <w:numId w:val="29"/>
        </w:numPr>
        <w:jc w:val="both"/>
      </w:pPr>
      <w:r>
        <w:t>wpływy ze sprzedaży składników majątkowych wyniosły 800,00 zł.</w:t>
      </w:r>
    </w:p>
    <w:p w14:paraId="66CE2474" w14:textId="77777777" w:rsidR="00B42946" w:rsidRDefault="00000000">
      <w:pPr>
        <w:pStyle w:val="SmallSubtitle"/>
      </w:pPr>
      <w:r>
        <w:t>Dotacje i środki na inwestycje</w:t>
      </w:r>
    </w:p>
    <w:p w14:paraId="0D596F3A" w14:textId="77777777" w:rsidR="00B42946" w:rsidRDefault="00000000">
      <w:pPr>
        <w:jc w:val="both"/>
      </w:pPr>
      <w:r>
        <w:t>Dotacje i środki na inwestycje w 2025 roku zostały zaplanowane na poziomie 6 947 220,41 zł, natomiast zrealizowane w kwocie 6 940 856,41 zł, co stanowi 99,91% realizacji planu.</w:t>
      </w:r>
    </w:p>
    <w:p w14:paraId="3B0CCBED" w14:textId="77777777" w:rsidR="00B42946" w:rsidRDefault="00000000">
      <w:pPr>
        <w:jc w:val="both"/>
      </w:pPr>
      <w:r>
        <w:t>Największy poziom dotacji i środków na inwestycje Gmina uzyskała na realizację zadań w obszarze:</w:t>
      </w:r>
    </w:p>
    <w:p w14:paraId="74F8245A" w14:textId="77777777" w:rsidR="00B42946" w:rsidRDefault="00000000">
      <w:pPr>
        <w:pStyle w:val="Akapitzlist"/>
        <w:numPr>
          <w:ilvl w:val="0"/>
          <w:numId w:val="30"/>
        </w:numPr>
        <w:jc w:val="both"/>
      </w:pPr>
      <w:r>
        <w:lastRenderedPageBreak/>
        <w:t>Ochrona powietrza atmosferycznego i klimatu w ramach działu Gospodarka komunalna i ochrona środowiska – 4 281 415,06 zł;</w:t>
      </w:r>
    </w:p>
    <w:p w14:paraId="6E97880E" w14:textId="77777777" w:rsidR="00B42946" w:rsidRDefault="00000000">
      <w:pPr>
        <w:pStyle w:val="Akapitzlist"/>
        <w:numPr>
          <w:ilvl w:val="0"/>
          <w:numId w:val="30"/>
        </w:numPr>
        <w:jc w:val="both"/>
      </w:pPr>
      <w:r>
        <w:t>Drogi publiczne gminne w ramach działu Transport i łączność – 1 316 081,27 zł;</w:t>
      </w:r>
    </w:p>
    <w:p w14:paraId="464B6890" w14:textId="77777777" w:rsidR="00B42946" w:rsidRDefault="00000000">
      <w:pPr>
        <w:pStyle w:val="Akapitzlist"/>
        <w:numPr>
          <w:ilvl w:val="0"/>
          <w:numId w:val="30"/>
        </w:numPr>
        <w:jc w:val="both"/>
      </w:pPr>
      <w:r>
        <w:t>Oświetlenie ulic, placów i dróg w ramach działu Gospodarka komunalna i ochrona środowiska – 481 176,00 zł;</w:t>
      </w:r>
    </w:p>
    <w:p w14:paraId="55F7304E" w14:textId="77777777" w:rsidR="00B42946" w:rsidRDefault="00000000">
      <w:pPr>
        <w:pStyle w:val="Akapitzlist"/>
        <w:numPr>
          <w:ilvl w:val="0"/>
          <w:numId w:val="30"/>
        </w:numPr>
        <w:jc w:val="both"/>
      </w:pPr>
      <w:r>
        <w:t>Różne rozliczenia finansowe w ramach działu Różne rozliczenia – 224 056,38 zł.</w:t>
      </w:r>
    </w:p>
    <w:p w14:paraId="070511EE" w14:textId="77777777" w:rsidR="00B42946" w:rsidRDefault="00000000">
      <w:pPr>
        <w:pStyle w:val="SmallSubtitle"/>
      </w:pPr>
      <w:r>
        <w:t>Pozostałe dochody majątkowe</w:t>
      </w:r>
    </w:p>
    <w:p w14:paraId="688D9905" w14:textId="77777777" w:rsidR="00B42946" w:rsidRDefault="00000000">
      <w:pPr>
        <w:jc w:val="both"/>
      </w:pPr>
      <w:r>
        <w:t>Pozostałe dochody majątkowe to dochody niesklasyfikowane w ramach wcześniejszych grup. W okresie sprawozdawczym przewidywano wykonanie na poziomie 10 813,35 zł. Plan został wykonany w kwocie 10 813,35 zł, co stanowi 100,00% założeń.</w:t>
      </w:r>
    </w:p>
    <w:p w14:paraId="1B34528C" w14:textId="77777777" w:rsidR="00B42946" w:rsidRDefault="00000000">
      <w:pPr>
        <w:jc w:val="both"/>
      </w:pPr>
      <w:r>
        <w:t>W ramach pozostałych dochodów majątkowych sklasyfikowane zostały:</w:t>
      </w:r>
    </w:p>
    <w:p w14:paraId="414F96C2" w14:textId="77777777" w:rsidR="00B42946" w:rsidRDefault="00000000">
      <w:pPr>
        <w:pStyle w:val="Akapitzlist"/>
        <w:numPr>
          <w:ilvl w:val="0"/>
          <w:numId w:val="31"/>
        </w:numPr>
        <w:jc w:val="both"/>
      </w:pPr>
      <w:r>
        <w:t>wpływy ze zwrotów niewykorzystanych dotacji oraz płatności, dotyczące dochodów majątkowych w kwocie 6 622,85 zł;</w:t>
      </w:r>
    </w:p>
    <w:p w14:paraId="25575869" w14:textId="77777777" w:rsidR="00B42946" w:rsidRDefault="00000000">
      <w:pPr>
        <w:pStyle w:val="Akapitzlist"/>
        <w:numPr>
          <w:ilvl w:val="0"/>
          <w:numId w:val="31"/>
        </w:numPr>
        <w:jc w:val="both"/>
      </w:pPr>
      <w:r>
        <w:t>wpływy ze zwrotów niewykorzystanych dotacji oraz płatności, dotyczące dochodów majątkowych w kwocie 4 190,50 zł.</w:t>
      </w:r>
    </w:p>
    <w:p w14:paraId="22E77602" w14:textId="77777777" w:rsidR="00B42946" w:rsidRDefault="00000000">
      <w:pPr>
        <w:pStyle w:val="SmallSubtitle"/>
      </w:pPr>
      <w:r>
        <w:t>Wydatki</w:t>
      </w:r>
    </w:p>
    <w:p w14:paraId="24A6F79B" w14:textId="77777777" w:rsidR="00B42946" w:rsidRDefault="00000000">
      <w:pPr>
        <w:jc w:val="both"/>
      </w:pPr>
      <w:r>
        <w:t>Wydatki budżetu Gminy w 2025 roku wyniosły 75 755 015,54 zł, a ich realizacja wyniosła 91,61% planu wynoszącego 82 695 645,46 zł. W 2025 roku wydatki bieżące zostały wykonane na poziomie 59 130 188,48 zł, tj. w 90,25% w stosunku do planu po zmianach wynoszącego 65 516 256,47 zł, z kolei majątkowe zostały wykonane na poziomie 16 624 827,06 zł, tj. w 96,77% w stosunku do planu po zmianach wynoszącego 17 179 388,99 zł.</w:t>
      </w:r>
    </w:p>
    <w:p w14:paraId="3475B6B9" w14:textId="77777777" w:rsidR="00B42946" w:rsidRDefault="00000000">
      <w:pPr>
        <w:jc w:val="both"/>
      </w:pPr>
      <w:r>
        <w:t>Realizację planu wydatków w 2025 roku przedstawia tabela poniżej.</w:t>
      </w:r>
    </w:p>
    <w:tbl>
      <w:tblPr>
        <w:tblStyle w:val="TabelaCurulisEco"/>
        <w:tblW w:w="5000" w:type="pct"/>
        <w:tblLook w:val="04A0" w:firstRow="1" w:lastRow="0" w:firstColumn="1" w:lastColumn="0" w:noHBand="0" w:noVBand="1"/>
      </w:tblPr>
      <w:tblGrid>
        <w:gridCol w:w="504"/>
        <w:gridCol w:w="2731"/>
        <w:gridCol w:w="1548"/>
        <w:gridCol w:w="1548"/>
        <w:gridCol w:w="1548"/>
        <w:gridCol w:w="1252"/>
        <w:gridCol w:w="733"/>
      </w:tblGrid>
      <w:tr w:rsidR="00B42946" w14:paraId="6AD3793A" w14:textId="77777777" w:rsidTr="00B4294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22EFA0A4" w14:textId="77777777" w:rsidR="00B42946" w:rsidRDefault="00000000">
            <w:pPr>
              <w:rPr>
                <w:sz w:val="15"/>
                <w:szCs w:val="15"/>
              </w:rPr>
            </w:pPr>
            <w:r>
              <w:rPr>
                <w:sz w:val="15"/>
                <w:szCs w:val="15"/>
              </w:rPr>
              <w:t>Dział</w:t>
            </w:r>
          </w:p>
        </w:tc>
        <w:tc>
          <w:tcPr>
            <w:tcW w:w="1500" w:type="pct"/>
            <w:tcMar>
              <w:top w:w="11" w:type="dxa"/>
              <w:left w:w="85" w:type="dxa"/>
              <w:bottom w:w="6" w:type="dxa"/>
              <w:right w:w="85" w:type="dxa"/>
            </w:tcMar>
          </w:tcPr>
          <w:p w14:paraId="5DF2675A" w14:textId="77777777" w:rsidR="00B42946" w:rsidRDefault="00000000">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Wyszczególnienie</w:t>
            </w:r>
          </w:p>
        </w:tc>
        <w:tc>
          <w:tcPr>
            <w:tcW w:w="900" w:type="pct"/>
            <w:tcMar>
              <w:top w:w="11" w:type="dxa"/>
              <w:left w:w="85" w:type="dxa"/>
              <w:bottom w:w="6" w:type="dxa"/>
              <w:right w:w="85" w:type="dxa"/>
            </w:tcMar>
          </w:tcPr>
          <w:p w14:paraId="3773D53E" w14:textId="77777777" w:rsidR="00B42946" w:rsidRDefault="00000000">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Plan na 1.01.2025 r. (w zł)</w:t>
            </w:r>
          </w:p>
        </w:tc>
        <w:tc>
          <w:tcPr>
            <w:tcW w:w="900" w:type="pct"/>
            <w:tcMar>
              <w:top w:w="11" w:type="dxa"/>
              <w:left w:w="85" w:type="dxa"/>
              <w:bottom w:w="6" w:type="dxa"/>
              <w:right w:w="85" w:type="dxa"/>
            </w:tcMar>
          </w:tcPr>
          <w:p w14:paraId="71C8746D" w14:textId="77777777" w:rsidR="00B42946" w:rsidRDefault="00000000">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Plan na 31.12.2025 r. (w zł)</w:t>
            </w:r>
          </w:p>
        </w:tc>
        <w:tc>
          <w:tcPr>
            <w:tcW w:w="900" w:type="pct"/>
            <w:tcMar>
              <w:top w:w="11" w:type="dxa"/>
              <w:left w:w="85" w:type="dxa"/>
              <w:bottom w:w="6" w:type="dxa"/>
              <w:right w:w="85" w:type="dxa"/>
            </w:tcMar>
          </w:tcPr>
          <w:p w14:paraId="32276FB0" w14:textId="77777777" w:rsidR="00B42946" w:rsidRDefault="00000000">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Wykonanie (w zł)</w:t>
            </w:r>
          </w:p>
        </w:tc>
        <w:tc>
          <w:tcPr>
            <w:tcW w:w="750" w:type="pct"/>
            <w:tcMar>
              <w:top w:w="11" w:type="dxa"/>
              <w:left w:w="85" w:type="dxa"/>
              <w:bottom w:w="6" w:type="dxa"/>
              <w:right w:w="85" w:type="dxa"/>
            </w:tcMar>
          </w:tcPr>
          <w:p w14:paraId="2DF4709B" w14:textId="77777777" w:rsidR="00B42946" w:rsidRDefault="00000000">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Realizacja planu po zmianach (w %)</w:t>
            </w:r>
          </w:p>
        </w:tc>
        <w:tc>
          <w:tcPr>
            <w:tcW w:w="250" w:type="pct"/>
            <w:tcMar>
              <w:top w:w="11" w:type="dxa"/>
              <w:left w:w="85" w:type="dxa"/>
              <w:bottom w:w="6" w:type="dxa"/>
              <w:right w:w="85" w:type="dxa"/>
            </w:tcMar>
          </w:tcPr>
          <w:p w14:paraId="1590B098" w14:textId="77777777" w:rsidR="00B42946" w:rsidRDefault="00000000">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Udział (w %)</w:t>
            </w:r>
          </w:p>
        </w:tc>
      </w:tr>
      <w:tr w:rsidR="00B42946" w14:paraId="2890E1E3"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4DDEA73F" w14:textId="77777777" w:rsidR="00B42946" w:rsidRDefault="00000000">
            <w:pPr>
              <w:rPr>
                <w:sz w:val="15"/>
                <w:szCs w:val="15"/>
              </w:rPr>
            </w:pPr>
            <w:r>
              <w:rPr>
                <w:sz w:val="15"/>
                <w:szCs w:val="15"/>
              </w:rPr>
              <w:t>801</w:t>
            </w:r>
          </w:p>
        </w:tc>
        <w:tc>
          <w:tcPr>
            <w:tcW w:w="1500" w:type="pct"/>
            <w:tcMar>
              <w:top w:w="11" w:type="dxa"/>
              <w:left w:w="85" w:type="dxa"/>
              <w:bottom w:w="6" w:type="dxa"/>
              <w:right w:w="85" w:type="dxa"/>
            </w:tcMar>
          </w:tcPr>
          <w:p w14:paraId="71C2FB6B"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Oświata i wychowanie</w:t>
            </w:r>
          </w:p>
        </w:tc>
        <w:tc>
          <w:tcPr>
            <w:tcW w:w="900" w:type="pct"/>
            <w:tcMar>
              <w:top w:w="11" w:type="dxa"/>
              <w:left w:w="85" w:type="dxa"/>
              <w:bottom w:w="6" w:type="dxa"/>
              <w:right w:w="85" w:type="dxa"/>
            </w:tcMar>
          </w:tcPr>
          <w:p w14:paraId="60342869"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32 125 523,00</w:t>
            </w:r>
          </w:p>
        </w:tc>
        <w:tc>
          <w:tcPr>
            <w:tcW w:w="900" w:type="pct"/>
            <w:tcMar>
              <w:top w:w="11" w:type="dxa"/>
              <w:left w:w="85" w:type="dxa"/>
              <w:bottom w:w="6" w:type="dxa"/>
              <w:right w:w="85" w:type="dxa"/>
            </w:tcMar>
          </w:tcPr>
          <w:p w14:paraId="4BFF3DC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32 821 441,32</w:t>
            </w:r>
          </w:p>
        </w:tc>
        <w:tc>
          <w:tcPr>
            <w:tcW w:w="900" w:type="pct"/>
            <w:tcMar>
              <w:top w:w="11" w:type="dxa"/>
              <w:left w:w="85" w:type="dxa"/>
              <w:bottom w:w="6" w:type="dxa"/>
              <w:right w:w="85" w:type="dxa"/>
            </w:tcMar>
          </w:tcPr>
          <w:p w14:paraId="19F0E763"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29 905 575,71</w:t>
            </w:r>
          </w:p>
        </w:tc>
        <w:tc>
          <w:tcPr>
            <w:tcW w:w="750" w:type="pct"/>
            <w:tcMar>
              <w:top w:w="11" w:type="dxa"/>
              <w:left w:w="85" w:type="dxa"/>
              <w:bottom w:w="6" w:type="dxa"/>
              <w:right w:w="85" w:type="dxa"/>
            </w:tcMar>
          </w:tcPr>
          <w:p w14:paraId="49E9856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91,12%</w:t>
            </w:r>
          </w:p>
        </w:tc>
        <w:tc>
          <w:tcPr>
            <w:tcW w:w="250" w:type="pct"/>
            <w:tcMar>
              <w:top w:w="11" w:type="dxa"/>
              <w:left w:w="85" w:type="dxa"/>
              <w:bottom w:w="6" w:type="dxa"/>
              <w:right w:w="85" w:type="dxa"/>
            </w:tcMar>
          </w:tcPr>
          <w:p w14:paraId="1EAE877F"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39,48%</w:t>
            </w:r>
          </w:p>
        </w:tc>
      </w:tr>
      <w:tr w:rsidR="00B42946" w14:paraId="4FA433C6"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593697A2" w14:textId="77777777" w:rsidR="00B42946" w:rsidRDefault="00000000">
            <w:pPr>
              <w:rPr>
                <w:sz w:val="15"/>
                <w:szCs w:val="15"/>
              </w:rPr>
            </w:pPr>
            <w:r>
              <w:rPr>
                <w:sz w:val="15"/>
                <w:szCs w:val="15"/>
              </w:rPr>
              <w:t>900</w:t>
            </w:r>
          </w:p>
        </w:tc>
        <w:tc>
          <w:tcPr>
            <w:tcW w:w="1500" w:type="pct"/>
            <w:tcMar>
              <w:top w:w="11" w:type="dxa"/>
              <w:left w:w="85" w:type="dxa"/>
              <w:bottom w:w="6" w:type="dxa"/>
              <w:right w:w="85" w:type="dxa"/>
            </w:tcMar>
          </w:tcPr>
          <w:p w14:paraId="1E63F759"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Gospodarka komunalna i ochrona środowiska</w:t>
            </w:r>
          </w:p>
        </w:tc>
        <w:tc>
          <w:tcPr>
            <w:tcW w:w="900" w:type="pct"/>
            <w:tcMar>
              <w:top w:w="11" w:type="dxa"/>
              <w:left w:w="85" w:type="dxa"/>
              <w:bottom w:w="6" w:type="dxa"/>
              <w:right w:w="85" w:type="dxa"/>
            </w:tcMar>
          </w:tcPr>
          <w:p w14:paraId="7C14CE78"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8 669 290,50</w:t>
            </w:r>
          </w:p>
        </w:tc>
        <w:tc>
          <w:tcPr>
            <w:tcW w:w="900" w:type="pct"/>
            <w:tcMar>
              <w:top w:w="11" w:type="dxa"/>
              <w:left w:w="85" w:type="dxa"/>
              <w:bottom w:w="6" w:type="dxa"/>
              <w:right w:w="85" w:type="dxa"/>
            </w:tcMar>
          </w:tcPr>
          <w:p w14:paraId="4541DA3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9 192 127,69</w:t>
            </w:r>
          </w:p>
        </w:tc>
        <w:tc>
          <w:tcPr>
            <w:tcW w:w="900" w:type="pct"/>
            <w:tcMar>
              <w:top w:w="11" w:type="dxa"/>
              <w:left w:w="85" w:type="dxa"/>
              <w:bottom w:w="6" w:type="dxa"/>
              <w:right w:w="85" w:type="dxa"/>
            </w:tcMar>
          </w:tcPr>
          <w:p w14:paraId="0A5C426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8 380 556,25</w:t>
            </w:r>
          </w:p>
        </w:tc>
        <w:tc>
          <w:tcPr>
            <w:tcW w:w="750" w:type="pct"/>
            <w:tcMar>
              <w:top w:w="11" w:type="dxa"/>
              <w:left w:w="85" w:type="dxa"/>
              <w:bottom w:w="6" w:type="dxa"/>
              <w:right w:w="85" w:type="dxa"/>
            </w:tcMar>
          </w:tcPr>
          <w:p w14:paraId="106B15AD"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91,17%</w:t>
            </w:r>
          </w:p>
        </w:tc>
        <w:tc>
          <w:tcPr>
            <w:tcW w:w="250" w:type="pct"/>
            <w:tcMar>
              <w:top w:w="11" w:type="dxa"/>
              <w:left w:w="85" w:type="dxa"/>
              <w:bottom w:w="6" w:type="dxa"/>
              <w:right w:w="85" w:type="dxa"/>
            </w:tcMar>
          </w:tcPr>
          <w:p w14:paraId="772B352F"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11,06%</w:t>
            </w:r>
          </w:p>
        </w:tc>
      </w:tr>
      <w:tr w:rsidR="00B42946" w14:paraId="23C01D43"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69631BC1" w14:textId="77777777" w:rsidR="00B42946" w:rsidRDefault="00000000">
            <w:pPr>
              <w:rPr>
                <w:sz w:val="15"/>
                <w:szCs w:val="15"/>
              </w:rPr>
            </w:pPr>
            <w:r>
              <w:rPr>
                <w:sz w:val="15"/>
                <w:szCs w:val="15"/>
              </w:rPr>
              <w:t>750</w:t>
            </w:r>
          </w:p>
        </w:tc>
        <w:tc>
          <w:tcPr>
            <w:tcW w:w="1500" w:type="pct"/>
            <w:tcMar>
              <w:top w:w="11" w:type="dxa"/>
              <w:left w:w="85" w:type="dxa"/>
              <w:bottom w:w="6" w:type="dxa"/>
              <w:right w:w="85" w:type="dxa"/>
            </w:tcMar>
          </w:tcPr>
          <w:p w14:paraId="1A2C996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Administracja publiczna</w:t>
            </w:r>
          </w:p>
        </w:tc>
        <w:tc>
          <w:tcPr>
            <w:tcW w:w="900" w:type="pct"/>
            <w:tcMar>
              <w:top w:w="11" w:type="dxa"/>
              <w:left w:w="85" w:type="dxa"/>
              <w:bottom w:w="6" w:type="dxa"/>
              <w:right w:w="85" w:type="dxa"/>
            </w:tcMar>
          </w:tcPr>
          <w:p w14:paraId="3C04BEAF"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9 040 166,70</w:t>
            </w:r>
          </w:p>
        </w:tc>
        <w:tc>
          <w:tcPr>
            <w:tcW w:w="900" w:type="pct"/>
            <w:tcMar>
              <w:top w:w="11" w:type="dxa"/>
              <w:left w:w="85" w:type="dxa"/>
              <w:bottom w:w="6" w:type="dxa"/>
              <w:right w:w="85" w:type="dxa"/>
            </w:tcMar>
          </w:tcPr>
          <w:p w14:paraId="1D140C0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9 107 839,04</w:t>
            </w:r>
          </w:p>
        </w:tc>
        <w:tc>
          <w:tcPr>
            <w:tcW w:w="900" w:type="pct"/>
            <w:tcMar>
              <w:top w:w="11" w:type="dxa"/>
              <w:left w:w="85" w:type="dxa"/>
              <w:bottom w:w="6" w:type="dxa"/>
              <w:right w:w="85" w:type="dxa"/>
            </w:tcMar>
          </w:tcPr>
          <w:p w14:paraId="251D4055"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8 317 059,00</w:t>
            </w:r>
          </w:p>
        </w:tc>
        <w:tc>
          <w:tcPr>
            <w:tcW w:w="750" w:type="pct"/>
            <w:tcMar>
              <w:top w:w="11" w:type="dxa"/>
              <w:left w:w="85" w:type="dxa"/>
              <w:bottom w:w="6" w:type="dxa"/>
              <w:right w:w="85" w:type="dxa"/>
            </w:tcMar>
          </w:tcPr>
          <w:p w14:paraId="6E39B8AB"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91,32%</w:t>
            </w:r>
          </w:p>
        </w:tc>
        <w:tc>
          <w:tcPr>
            <w:tcW w:w="250" w:type="pct"/>
            <w:tcMar>
              <w:top w:w="11" w:type="dxa"/>
              <w:left w:w="85" w:type="dxa"/>
              <w:bottom w:w="6" w:type="dxa"/>
              <w:right w:w="85" w:type="dxa"/>
            </w:tcMar>
          </w:tcPr>
          <w:p w14:paraId="376E766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10,98%</w:t>
            </w:r>
          </w:p>
        </w:tc>
      </w:tr>
      <w:tr w:rsidR="00B42946" w14:paraId="2F5B7EA4"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1C2F6BC2" w14:textId="77777777" w:rsidR="00B42946" w:rsidRDefault="00000000">
            <w:pPr>
              <w:rPr>
                <w:sz w:val="15"/>
                <w:szCs w:val="15"/>
              </w:rPr>
            </w:pPr>
            <w:r>
              <w:rPr>
                <w:sz w:val="15"/>
                <w:szCs w:val="15"/>
              </w:rPr>
              <w:t>600</w:t>
            </w:r>
          </w:p>
        </w:tc>
        <w:tc>
          <w:tcPr>
            <w:tcW w:w="1500" w:type="pct"/>
            <w:tcMar>
              <w:top w:w="11" w:type="dxa"/>
              <w:left w:w="85" w:type="dxa"/>
              <w:bottom w:w="6" w:type="dxa"/>
              <w:right w:w="85" w:type="dxa"/>
            </w:tcMar>
          </w:tcPr>
          <w:p w14:paraId="6245B1D7"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Transport i łączność</w:t>
            </w:r>
          </w:p>
        </w:tc>
        <w:tc>
          <w:tcPr>
            <w:tcW w:w="900" w:type="pct"/>
            <w:tcMar>
              <w:top w:w="11" w:type="dxa"/>
              <w:left w:w="85" w:type="dxa"/>
              <w:bottom w:w="6" w:type="dxa"/>
              <w:right w:w="85" w:type="dxa"/>
            </w:tcMar>
          </w:tcPr>
          <w:p w14:paraId="26C46012"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6 021 861,44</w:t>
            </w:r>
          </w:p>
        </w:tc>
        <w:tc>
          <w:tcPr>
            <w:tcW w:w="900" w:type="pct"/>
            <w:tcMar>
              <w:top w:w="11" w:type="dxa"/>
              <w:left w:w="85" w:type="dxa"/>
              <w:bottom w:w="6" w:type="dxa"/>
              <w:right w:w="85" w:type="dxa"/>
            </w:tcMar>
          </w:tcPr>
          <w:p w14:paraId="56A659A5"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8 134 097,04</w:t>
            </w:r>
          </w:p>
        </w:tc>
        <w:tc>
          <w:tcPr>
            <w:tcW w:w="900" w:type="pct"/>
            <w:tcMar>
              <w:top w:w="11" w:type="dxa"/>
              <w:left w:w="85" w:type="dxa"/>
              <w:bottom w:w="6" w:type="dxa"/>
              <w:right w:w="85" w:type="dxa"/>
            </w:tcMar>
          </w:tcPr>
          <w:p w14:paraId="46C9F73E"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7 875 442,04</w:t>
            </w:r>
          </w:p>
        </w:tc>
        <w:tc>
          <w:tcPr>
            <w:tcW w:w="750" w:type="pct"/>
            <w:tcMar>
              <w:top w:w="11" w:type="dxa"/>
              <w:left w:w="85" w:type="dxa"/>
              <w:bottom w:w="6" w:type="dxa"/>
              <w:right w:w="85" w:type="dxa"/>
            </w:tcMar>
          </w:tcPr>
          <w:p w14:paraId="4D1ED95E"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96,82%</w:t>
            </w:r>
          </w:p>
        </w:tc>
        <w:tc>
          <w:tcPr>
            <w:tcW w:w="250" w:type="pct"/>
            <w:tcMar>
              <w:top w:w="11" w:type="dxa"/>
              <w:left w:w="85" w:type="dxa"/>
              <w:bottom w:w="6" w:type="dxa"/>
              <w:right w:w="85" w:type="dxa"/>
            </w:tcMar>
          </w:tcPr>
          <w:p w14:paraId="3385CECE"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10,40%</w:t>
            </w:r>
          </w:p>
        </w:tc>
      </w:tr>
      <w:tr w:rsidR="00B42946" w14:paraId="267E5E7E"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64163031" w14:textId="77777777" w:rsidR="00B42946" w:rsidRDefault="00000000">
            <w:pPr>
              <w:rPr>
                <w:sz w:val="15"/>
                <w:szCs w:val="15"/>
              </w:rPr>
            </w:pPr>
            <w:r>
              <w:rPr>
                <w:sz w:val="15"/>
                <w:szCs w:val="15"/>
              </w:rPr>
              <w:t>855</w:t>
            </w:r>
          </w:p>
        </w:tc>
        <w:tc>
          <w:tcPr>
            <w:tcW w:w="1500" w:type="pct"/>
            <w:tcMar>
              <w:top w:w="11" w:type="dxa"/>
              <w:left w:w="85" w:type="dxa"/>
              <w:bottom w:w="6" w:type="dxa"/>
              <w:right w:w="85" w:type="dxa"/>
            </w:tcMar>
          </w:tcPr>
          <w:p w14:paraId="4243C71B"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Rodzina</w:t>
            </w:r>
          </w:p>
        </w:tc>
        <w:tc>
          <w:tcPr>
            <w:tcW w:w="900" w:type="pct"/>
            <w:tcMar>
              <w:top w:w="11" w:type="dxa"/>
              <w:left w:w="85" w:type="dxa"/>
              <w:bottom w:w="6" w:type="dxa"/>
              <w:right w:w="85" w:type="dxa"/>
            </w:tcMar>
          </w:tcPr>
          <w:p w14:paraId="3D3A2196"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4 608 684,00</w:t>
            </w:r>
          </w:p>
        </w:tc>
        <w:tc>
          <w:tcPr>
            <w:tcW w:w="900" w:type="pct"/>
            <w:tcMar>
              <w:top w:w="11" w:type="dxa"/>
              <w:left w:w="85" w:type="dxa"/>
              <w:bottom w:w="6" w:type="dxa"/>
              <w:right w:w="85" w:type="dxa"/>
            </w:tcMar>
          </w:tcPr>
          <w:p w14:paraId="7A275BF8"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6 907 631,00</w:t>
            </w:r>
          </w:p>
        </w:tc>
        <w:tc>
          <w:tcPr>
            <w:tcW w:w="900" w:type="pct"/>
            <w:tcMar>
              <w:top w:w="11" w:type="dxa"/>
              <w:left w:w="85" w:type="dxa"/>
              <w:bottom w:w="6" w:type="dxa"/>
              <w:right w:w="85" w:type="dxa"/>
            </w:tcMar>
          </w:tcPr>
          <w:p w14:paraId="5300293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6 800 931,83</w:t>
            </w:r>
          </w:p>
        </w:tc>
        <w:tc>
          <w:tcPr>
            <w:tcW w:w="750" w:type="pct"/>
            <w:tcMar>
              <w:top w:w="11" w:type="dxa"/>
              <w:left w:w="85" w:type="dxa"/>
              <w:bottom w:w="6" w:type="dxa"/>
              <w:right w:w="85" w:type="dxa"/>
            </w:tcMar>
          </w:tcPr>
          <w:p w14:paraId="4838E616"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98,46%</w:t>
            </w:r>
          </w:p>
        </w:tc>
        <w:tc>
          <w:tcPr>
            <w:tcW w:w="250" w:type="pct"/>
            <w:tcMar>
              <w:top w:w="11" w:type="dxa"/>
              <w:left w:w="85" w:type="dxa"/>
              <w:bottom w:w="6" w:type="dxa"/>
              <w:right w:w="85" w:type="dxa"/>
            </w:tcMar>
          </w:tcPr>
          <w:p w14:paraId="49DFB70E"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8,98%</w:t>
            </w:r>
          </w:p>
        </w:tc>
      </w:tr>
      <w:tr w:rsidR="00B42946" w14:paraId="26B39C7F"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58FBC969" w14:textId="77777777" w:rsidR="00B42946" w:rsidRDefault="00000000">
            <w:pPr>
              <w:rPr>
                <w:sz w:val="15"/>
                <w:szCs w:val="15"/>
              </w:rPr>
            </w:pPr>
            <w:r>
              <w:rPr>
                <w:sz w:val="15"/>
                <w:szCs w:val="15"/>
              </w:rPr>
              <w:t>010</w:t>
            </w:r>
          </w:p>
        </w:tc>
        <w:tc>
          <w:tcPr>
            <w:tcW w:w="1500" w:type="pct"/>
            <w:tcMar>
              <w:top w:w="11" w:type="dxa"/>
              <w:left w:w="85" w:type="dxa"/>
              <w:bottom w:w="6" w:type="dxa"/>
              <w:right w:w="85" w:type="dxa"/>
            </w:tcMar>
          </w:tcPr>
          <w:p w14:paraId="4E6A9F7B"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Rolnictwo i łowiectwo</w:t>
            </w:r>
          </w:p>
        </w:tc>
        <w:tc>
          <w:tcPr>
            <w:tcW w:w="900" w:type="pct"/>
            <w:tcMar>
              <w:top w:w="11" w:type="dxa"/>
              <w:left w:w="85" w:type="dxa"/>
              <w:bottom w:w="6" w:type="dxa"/>
              <w:right w:w="85" w:type="dxa"/>
            </w:tcMar>
          </w:tcPr>
          <w:p w14:paraId="6B74FF75"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9 428 150,02</w:t>
            </w:r>
          </w:p>
        </w:tc>
        <w:tc>
          <w:tcPr>
            <w:tcW w:w="900" w:type="pct"/>
            <w:tcMar>
              <w:top w:w="11" w:type="dxa"/>
              <w:left w:w="85" w:type="dxa"/>
              <w:bottom w:w="6" w:type="dxa"/>
              <w:right w:w="85" w:type="dxa"/>
            </w:tcMar>
          </w:tcPr>
          <w:p w14:paraId="02791A2D"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6 681 158,59</w:t>
            </w:r>
          </w:p>
        </w:tc>
        <w:tc>
          <w:tcPr>
            <w:tcW w:w="900" w:type="pct"/>
            <w:tcMar>
              <w:top w:w="11" w:type="dxa"/>
              <w:left w:w="85" w:type="dxa"/>
              <w:bottom w:w="6" w:type="dxa"/>
              <w:right w:w="85" w:type="dxa"/>
            </w:tcMar>
          </w:tcPr>
          <w:p w14:paraId="7AEDEEC2"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6 631 660,32</w:t>
            </w:r>
          </w:p>
        </w:tc>
        <w:tc>
          <w:tcPr>
            <w:tcW w:w="750" w:type="pct"/>
            <w:tcMar>
              <w:top w:w="11" w:type="dxa"/>
              <w:left w:w="85" w:type="dxa"/>
              <w:bottom w:w="6" w:type="dxa"/>
              <w:right w:w="85" w:type="dxa"/>
            </w:tcMar>
          </w:tcPr>
          <w:p w14:paraId="14ED9473"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99,26%</w:t>
            </w:r>
          </w:p>
        </w:tc>
        <w:tc>
          <w:tcPr>
            <w:tcW w:w="250" w:type="pct"/>
            <w:tcMar>
              <w:top w:w="11" w:type="dxa"/>
              <w:left w:w="85" w:type="dxa"/>
              <w:bottom w:w="6" w:type="dxa"/>
              <w:right w:w="85" w:type="dxa"/>
            </w:tcMar>
          </w:tcPr>
          <w:p w14:paraId="7964AFA7"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8,75%</w:t>
            </w:r>
          </w:p>
        </w:tc>
      </w:tr>
      <w:tr w:rsidR="00B42946" w14:paraId="2772E055"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53876D4E" w14:textId="77777777" w:rsidR="00B42946" w:rsidRDefault="00000000">
            <w:pPr>
              <w:rPr>
                <w:sz w:val="15"/>
                <w:szCs w:val="15"/>
              </w:rPr>
            </w:pPr>
            <w:r>
              <w:rPr>
                <w:sz w:val="15"/>
                <w:szCs w:val="15"/>
              </w:rPr>
              <w:t>852</w:t>
            </w:r>
          </w:p>
        </w:tc>
        <w:tc>
          <w:tcPr>
            <w:tcW w:w="1500" w:type="pct"/>
            <w:tcMar>
              <w:top w:w="11" w:type="dxa"/>
              <w:left w:w="85" w:type="dxa"/>
              <w:bottom w:w="6" w:type="dxa"/>
              <w:right w:w="85" w:type="dxa"/>
            </w:tcMar>
          </w:tcPr>
          <w:p w14:paraId="0D7939E2"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Pomoc społeczna</w:t>
            </w:r>
          </w:p>
        </w:tc>
        <w:tc>
          <w:tcPr>
            <w:tcW w:w="900" w:type="pct"/>
            <w:tcMar>
              <w:top w:w="11" w:type="dxa"/>
              <w:left w:w="85" w:type="dxa"/>
              <w:bottom w:w="6" w:type="dxa"/>
              <w:right w:w="85" w:type="dxa"/>
            </w:tcMar>
          </w:tcPr>
          <w:p w14:paraId="7EAE3FD5"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2 452 147,30</w:t>
            </w:r>
          </w:p>
        </w:tc>
        <w:tc>
          <w:tcPr>
            <w:tcW w:w="900" w:type="pct"/>
            <w:tcMar>
              <w:top w:w="11" w:type="dxa"/>
              <w:left w:w="85" w:type="dxa"/>
              <w:bottom w:w="6" w:type="dxa"/>
              <w:right w:w="85" w:type="dxa"/>
            </w:tcMar>
          </w:tcPr>
          <w:p w14:paraId="7DD3B913"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2 573 240,90</w:t>
            </w:r>
          </w:p>
        </w:tc>
        <w:tc>
          <w:tcPr>
            <w:tcW w:w="900" w:type="pct"/>
            <w:tcMar>
              <w:top w:w="11" w:type="dxa"/>
              <w:left w:w="85" w:type="dxa"/>
              <w:bottom w:w="6" w:type="dxa"/>
              <w:right w:w="85" w:type="dxa"/>
            </w:tcMar>
          </w:tcPr>
          <w:p w14:paraId="3E7000EB"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2 079 920,63</w:t>
            </w:r>
          </w:p>
        </w:tc>
        <w:tc>
          <w:tcPr>
            <w:tcW w:w="750" w:type="pct"/>
            <w:tcMar>
              <w:top w:w="11" w:type="dxa"/>
              <w:left w:w="85" w:type="dxa"/>
              <w:bottom w:w="6" w:type="dxa"/>
              <w:right w:w="85" w:type="dxa"/>
            </w:tcMar>
          </w:tcPr>
          <w:p w14:paraId="69E00A5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80,83%</w:t>
            </w:r>
          </w:p>
        </w:tc>
        <w:tc>
          <w:tcPr>
            <w:tcW w:w="250" w:type="pct"/>
            <w:tcMar>
              <w:top w:w="11" w:type="dxa"/>
              <w:left w:w="85" w:type="dxa"/>
              <w:bottom w:w="6" w:type="dxa"/>
              <w:right w:w="85" w:type="dxa"/>
            </w:tcMar>
          </w:tcPr>
          <w:p w14:paraId="52F8A23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2,75%</w:t>
            </w:r>
          </w:p>
        </w:tc>
      </w:tr>
      <w:tr w:rsidR="00B42946" w14:paraId="7DE2E253"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7D14EEFF" w14:textId="77777777" w:rsidR="00B42946" w:rsidRDefault="00000000">
            <w:pPr>
              <w:rPr>
                <w:sz w:val="15"/>
                <w:szCs w:val="15"/>
              </w:rPr>
            </w:pPr>
            <w:r>
              <w:rPr>
                <w:sz w:val="15"/>
                <w:szCs w:val="15"/>
              </w:rPr>
              <w:t>400</w:t>
            </w:r>
          </w:p>
        </w:tc>
        <w:tc>
          <w:tcPr>
            <w:tcW w:w="1500" w:type="pct"/>
            <w:tcMar>
              <w:top w:w="11" w:type="dxa"/>
              <w:left w:w="85" w:type="dxa"/>
              <w:bottom w:w="6" w:type="dxa"/>
              <w:right w:w="85" w:type="dxa"/>
            </w:tcMar>
          </w:tcPr>
          <w:p w14:paraId="2721AFD7"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Wytwarzanie i zaopatrywanie w energię elektryczną, gaz i wodę</w:t>
            </w:r>
          </w:p>
        </w:tc>
        <w:tc>
          <w:tcPr>
            <w:tcW w:w="900" w:type="pct"/>
            <w:tcMar>
              <w:top w:w="11" w:type="dxa"/>
              <w:left w:w="85" w:type="dxa"/>
              <w:bottom w:w="6" w:type="dxa"/>
              <w:right w:w="85" w:type="dxa"/>
            </w:tcMar>
          </w:tcPr>
          <w:p w14:paraId="526380AE"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2 066 319,00</w:t>
            </w:r>
          </w:p>
        </w:tc>
        <w:tc>
          <w:tcPr>
            <w:tcW w:w="900" w:type="pct"/>
            <w:tcMar>
              <w:top w:w="11" w:type="dxa"/>
              <w:left w:w="85" w:type="dxa"/>
              <w:bottom w:w="6" w:type="dxa"/>
              <w:right w:w="85" w:type="dxa"/>
            </w:tcMar>
          </w:tcPr>
          <w:p w14:paraId="4E4C682E"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2 299 719,37</w:t>
            </w:r>
          </w:p>
        </w:tc>
        <w:tc>
          <w:tcPr>
            <w:tcW w:w="900" w:type="pct"/>
            <w:tcMar>
              <w:top w:w="11" w:type="dxa"/>
              <w:left w:w="85" w:type="dxa"/>
              <w:bottom w:w="6" w:type="dxa"/>
              <w:right w:w="85" w:type="dxa"/>
            </w:tcMar>
          </w:tcPr>
          <w:p w14:paraId="644585CC"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2 069 635,06</w:t>
            </w:r>
          </w:p>
        </w:tc>
        <w:tc>
          <w:tcPr>
            <w:tcW w:w="750" w:type="pct"/>
            <w:tcMar>
              <w:top w:w="11" w:type="dxa"/>
              <w:left w:w="85" w:type="dxa"/>
              <w:bottom w:w="6" w:type="dxa"/>
              <w:right w:w="85" w:type="dxa"/>
            </w:tcMar>
          </w:tcPr>
          <w:p w14:paraId="5A2AE23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90,00%</w:t>
            </w:r>
          </w:p>
        </w:tc>
        <w:tc>
          <w:tcPr>
            <w:tcW w:w="250" w:type="pct"/>
            <w:tcMar>
              <w:top w:w="11" w:type="dxa"/>
              <w:left w:w="85" w:type="dxa"/>
              <w:bottom w:w="6" w:type="dxa"/>
              <w:right w:w="85" w:type="dxa"/>
            </w:tcMar>
          </w:tcPr>
          <w:p w14:paraId="3A3427AD"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2,73%</w:t>
            </w:r>
          </w:p>
        </w:tc>
      </w:tr>
      <w:tr w:rsidR="00B42946" w14:paraId="6491FFB6"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04117920" w14:textId="77777777" w:rsidR="00B42946" w:rsidRDefault="00000000">
            <w:pPr>
              <w:rPr>
                <w:sz w:val="15"/>
                <w:szCs w:val="15"/>
              </w:rPr>
            </w:pPr>
            <w:r>
              <w:rPr>
                <w:sz w:val="15"/>
                <w:szCs w:val="15"/>
              </w:rPr>
              <w:t>921</w:t>
            </w:r>
          </w:p>
        </w:tc>
        <w:tc>
          <w:tcPr>
            <w:tcW w:w="1500" w:type="pct"/>
            <w:tcMar>
              <w:top w:w="11" w:type="dxa"/>
              <w:left w:w="85" w:type="dxa"/>
              <w:bottom w:w="6" w:type="dxa"/>
              <w:right w:w="85" w:type="dxa"/>
            </w:tcMar>
          </w:tcPr>
          <w:p w14:paraId="2D60748D"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Kultura i ochrona dziedzictwa narodowego</w:t>
            </w:r>
          </w:p>
        </w:tc>
        <w:tc>
          <w:tcPr>
            <w:tcW w:w="900" w:type="pct"/>
            <w:tcMar>
              <w:top w:w="11" w:type="dxa"/>
              <w:left w:w="85" w:type="dxa"/>
              <w:bottom w:w="6" w:type="dxa"/>
              <w:right w:w="85" w:type="dxa"/>
            </w:tcMar>
          </w:tcPr>
          <w:p w14:paraId="68641A57"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1 308 250,61</w:t>
            </w:r>
          </w:p>
        </w:tc>
        <w:tc>
          <w:tcPr>
            <w:tcW w:w="900" w:type="pct"/>
            <w:tcMar>
              <w:top w:w="11" w:type="dxa"/>
              <w:left w:w="85" w:type="dxa"/>
              <w:bottom w:w="6" w:type="dxa"/>
              <w:right w:w="85" w:type="dxa"/>
            </w:tcMar>
          </w:tcPr>
          <w:p w14:paraId="635362A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1 315 937,52</w:t>
            </w:r>
          </w:p>
        </w:tc>
        <w:tc>
          <w:tcPr>
            <w:tcW w:w="900" w:type="pct"/>
            <w:tcMar>
              <w:top w:w="11" w:type="dxa"/>
              <w:left w:w="85" w:type="dxa"/>
              <w:bottom w:w="6" w:type="dxa"/>
              <w:right w:w="85" w:type="dxa"/>
            </w:tcMar>
          </w:tcPr>
          <w:p w14:paraId="10FBB154"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1 243 665,05</w:t>
            </w:r>
          </w:p>
        </w:tc>
        <w:tc>
          <w:tcPr>
            <w:tcW w:w="750" w:type="pct"/>
            <w:tcMar>
              <w:top w:w="11" w:type="dxa"/>
              <w:left w:w="85" w:type="dxa"/>
              <w:bottom w:w="6" w:type="dxa"/>
              <w:right w:w="85" w:type="dxa"/>
            </w:tcMar>
          </w:tcPr>
          <w:p w14:paraId="22CE9A24"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94,51%</w:t>
            </w:r>
          </w:p>
        </w:tc>
        <w:tc>
          <w:tcPr>
            <w:tcW w:w="250" w:type="pct"/>
            <w:tcMar>
              <w:top w:w="11" w:type="dxa"/>
              <w:left w:w="85" w:type="dxa"/>
              <w:bottom w:w="6" w:type="dxa"/>
              <w:right w:w="85" w:type="dxa"/>
            </w:tcMar>
          </w:tcPr>
          <w:p w14:paraId="6AFC1A83"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1,64%</w:t>
            </w:r>
          </w:p>
        </w:tc>
      </w:tr>
      <w:tr w:rsidR="00B42946" w14:paraId="35A25170"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500BC727" w14:textId="77777777" w:rsidR="00B42946" w:rsidRDefault="00000000">
            <w:pPr>
              <w:rPr>
                <w:sz w:val="15"/>
                <w:szCs w:val="15"/>
              </w:rPr>
            </w:pPr>
            <w:r>
              <w:rPr>
                <w:sz w:val="15"/>
                <w:szCs w:val="15"/>
              </w:rPr>
              <w:t>754</w:t>
            </w:r>
          </w:p>
        </w:tc>
        <w:tc>
          <w:tcPr>
            <w:tcW w:w="1500" w:type="pct"/>
            <w:tcMar>
              <w:top w:w="11" w:type="dxa"/>
              <w:left w:w="85" w:type="dxa"/>
              <w:bottom w:w="6" w:type="dxa"/>
              <w:right w:w="85" w:type="dxa"/>
            </w:tcMar>
          </w:tcPr>
          <w:p w14:paraId="6EE3FB6E"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Bezpieczeństwo publiczne i ochrona przeciwpożarowa</w:t>
            </w:r>
          </w:p>
        </w:tc>
        <w:tc>
          <w:tcPr>
            <w:tcW w:w="900" w:type="pct"/>
            <w:tcMar>
              <w:top w:w="11" w:type="dxa"/>
              <w:left w:w="85" w:type="dxa"/>
              <w:bottom w:w="6" w:type="dxa"/>
              <w:right w:w="85" w:type="dxa"/>
            </w:tcMar>
          </w:tcPr>
          <w:p w14:paraId="3B31AA1D"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757 573,43</w:t>
            </w:r>
          </w:p>
        </w:tc>
        <w:tc>
          <w:tcPr>
            <w:tcW w:w="900" w:type="pct"/>
            <w:tcMar>
              <w:top w:w="11" w:type="dxa"/>
              <w:left w:w="85" w:type="dxa"/>
              <w:bottom w:w="6" w:type="dxa"/>
              <w:right w:w="85" w:type="dxa"/>
            </w:tcMar>
          </w:tcPr>
          <w:p w14:paraId="7B57FDD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885 404,37</w:t>
            </w:r>
          </w:p>
        </w:tc>
        <w:tc>
          <w:tcPr>
            <w:tcW w:w="900" w:type="pct"/>
            <w:tcMar>
              <w:top w:w="11" w:type="dxa"/>
              <w:left w:w="85" w:type="dxa"/>
              <w:bottom w:w="6" w:type="dxa"/>
              <w:right w:w="85" w:type="dxa"/>
            </w:tcMar>
          </w:tcPr>
          <w:p w14:paraId="79B1084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841 589,91</w:t>
            </w:r>
          </w:p>
        </w:tc>
        <w:tc>
          <w:tcPr>
            <w:tcW w:w="750" w:type="pct"/>
            <w:tcMar>
              <w:top w:w="11" w:type="dxa"/>
              <w:left w:w="85" w:type="dxa"/>
              <w:bottom w:w="6" w:type="dxa"/>
              <w:right w:w="85" w:type="dxa"/>
            </w:tcMar>
          </w:tcPr>
          <w:p w14:paraId="17966A7A"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95,05%</w:t>
            </w:r>
          </w:p>
        </w:tc>
        <w:tc>
          <w:tcPr>
            <w:tcW w:w="250" w:type="pct"/>
            <w:tcMar>
              <w:top w:w="11" w:type="dxa"/>
              <w:left w:w="85" w:type="dxa"/>
              <w:bottom w:w="6" w:type="dxa"/>
              <w:right w:w="85" w:type="dxa"/>
            </w:tcMar>
          </w:tcPr>
          <w:p w14:paraId="007F7B1A"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1,11%</w:t>
            </w:r>
          </w:p>
        </w:tc>
      </w:tr>
      <w:tr w:rsidR="00B42946" w14:paraId="2CDECB96"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2F1B09FC" w14:textId="77777777" w:rsidR="00B42946" w:rsidRDefault="00000000">
            <w:pPr>
              <w:rPr>
                <w:sz w:val="15"/>
                <w:szCs w:val="15"/>
              </w:rPr>
            </w:pPr>
            <w:r>
              <w:rPr>
                <w:sz w:val="15"/>
                <w:szCs w:val="15"/>
              </w:rPr>
              <w:t>700</w:t>
            </w:r>
          </w:p>
        </w:tc>
        <w:tc>
          <w:tcPr>
            <w:tcW w:w="1500" w:type="pct"/>
            <w:tcMar>
              <w:top w:w="11" w:type="dxa"/>
              <w:left w:w="85" w:type="dxa"/>
              <w:bottom w:w="6" w:type="dxa"/>
              <w:right w:w="85" w:type="dxa"/>
            </w:tcMar>
          </w:tcPr>
          <w:p w14:paraId="3B5AD4C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Gospodarka mieszkaniowa</w:t>
            </w:r>
          </w:p>
        </w:tc>
        <w:tc>
          <w:tcPr>
            <w:tcW w:w="900" w:type="pct"/>
            <w:tcMar>
              <w:top w:w="11" w:type="dxa"/>
              <w:left w:w="85" w:type="dxa"/>
              <w:bottom w:w="6" w:type="dxa"/>
              <w:right w:w="85" w:type="dxa"/>
            </w:tcMar>
          </w:tcPr>
          <w:p w14:paraId="26A0992D"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424 360,00</w:t>
            </w:r>
          </w:p>
        </w:tc>
        <w:tc>
          <w:tcPr>
            <w:tcW w:w="900" w:type="pct"/>
            <w:tcMar>
              <w:top w:w="11" w:type="dxa"/>
              <w:left w:w="85" w:type="dxa"/>
              <w:bottom w:w="6" w:type="dxa"/>
              <w:right w:w="85" w:type="dxa"/>
            </w:tcMar>
          </w:tcPr>
          <w:p w14:paraId="7A211B8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421 560,00</w:t>
            </w:r>
          </w:p>
        </w:tc>
        <w:tc>
          <w:tcPr>
            <w:tcW w:w="900" w:type="pct"/>
            <w:tcMar>
              <w:top w:w="11" w:type="dxa"/>
              <w:left w:w="85" w:type="dxa"/>
              <w:bottom w:w="6" w:type="dxa"/>
              <w:right w:w="85" w:type="dxa"/>
            </w:tcMar>
          </w:tcPr>
          <w:p w14:paraId="6328FAA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279 615,11</w:t>
            </w:r>
          </w:p>
        </w:tc>
        <w:tc>
          <w:tcPr>
            <w:tcW w:w="750" w:type="pct"/>
            <w:tcMar>
              <w:top w:w="11" w:type="dxa"/>
              <w:left w:w="85" w:type="dxa"/>
              <w:bottom w:w="6" w:type="dxa"/>
              <w:right w:w="85" w:type="dxa"/>
            </w:tcMar>
          </w:tcPr>
          <w:p w14:paraId="3623D984"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66,33%</w:t>
            </w:r>
          </w:p>
        </w:tc>
        <w:tc>
          <w:tcPr>
            <w:tcW w:w="250" w:type="pct"/>
            <w:tcMar>
              <w:top w:w="11" w:type="dxa"/>
              <w:left w:w="85" w:type="dxa"/>
              <w:bottom w:w="6" w:type="dxa"/>
              <w:right w:w="85" w:type="dxa"/>
            </w:tcMar>
          </w:tcPr>
          <w:p w14:paraId="185C6D6E"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0,37%</w:t>
            </w:r>
          </w:p>
        </w:tc>
      </w:tr>
      <w:tr w:rsidR="00B42946" w14:paraId="25D94947"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7A34FCED" w14:textId="77777777" w:rsidR="00B42946" w:rsidRDefault="00000000">
            <w:pPr>
              <w:rPr>
                <w:sz w:val="15"/>
                <w:szCs w:val="15"/>
              </w:rPr>
            </w:pPr>
            <w:r>
              <w:rPr>
                <w:sz w:val="15"/>
                <w:szCs w:val="15"/>
              </w:rPr>
              <w:t>926</w:t>
            </w:r>
          </w:p>
        </w:tc>
        <w:tc>
          <w:tcPr>
            <w:tcW w:w="1500" w:type="pct"/>
            <w:tcMar>
              <w:top w:w="11" w:type="dxa"/>
              <w:left w:w="85" w:type="dxa"/>
              <w:bottom w:w="6" w:type="dxa"/>
              <w:right w:w="85" w:type="dxa"/>
            </w:tcMar>
          </w:tcPr>
          <w:p w14:paraId="5DD7FC38"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Kultura fizyczna</w:t>
            </w:r>
          </w:p>
        </w:tc>
        <w:tc>
          <w:tcPr>
            <w:tcW w:w="900" w:type="pct"/>
            <w:tcMar>
              <w:top w:w="11" w:type="dxa"/>
              <w:left w:w="85" w:type="dxa"/>
              <w:bottom w:w="6" w:type="dxa"/>
              <w:right w:w="85" w:type="dxa"/>
            </w:tcMar>
          </w:tcPr>
          <w:p w14:paraId="41F3CE6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3 667 491,00</w:t>
            </w:r>
          </w:p>
        </w:tc>
        <w:tc>
          <w:tcPr>
            <w:tcW w:w="900" w:type="pct"/>
            <w:tcMar>
              <w:top w:w="11" w:type="dxa"/>
              <w:left w:w="85" w:type="dxa"/>
              <w:bottom w:w="6" w:type="dxa"/>
              <w:right w:w="85" w:type="dxa"/>
            </w:tcMar>
          </w:tcPr>
          <w:p w14:paraId="4141378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280 961,00</w:t>
            </w:r>
          </w:p>
        </w:tc>
        <w:tc>
          <w:tcPr>
            <w:tcW w:w="900" w:type="pct"/>
            <w:tcMar>
              <w:top w:w="11" w:type="dxa"/>
              <w:left w:w="85" w:type="dxa"/>
              <w:bottom w:w="6" w:type="dxa"/>
              <w:right w:w="85" w:type="dxa"/>
            </w:tcMar>
          </w:tcPr>
          <w:p w14:paraId="7DFB28A6"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266 036,86</w:t>
            </w:r>
          </w:p>
        </w:tc>
        <w:tc>
          <w:tcPr>
            <w:tcW w:w="750" w:type="pct"/>
            <w:tcMar>
              <w:top w:w="11" w:type="dxa"/>
              <w:left w:w="85" w:type="dxa"/>
              <w:bottom w:w="6" w:type="dxa"/>
              <w:right w:w="85" w:type="dxa"/>
            </w:tcMar>
          </w:tcPr>
          <w:p w14:paraId="275371E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94,69%</w:t>
            </w:r>
          </w:p>
        </w:tc>
        <w:tc>
          <w:tcPr>
            <w:tcW w:w="250" w:type="pct"/>
            <w:tcMar>
              <w:top w:w="11" w:type="dxa"/>
              <w:left w:w="85" w:type="dxa"/>
              <w:bottom w:w="6" w:type="dxa"/>
              <w:right w:w="85" w:type="dxa"/>
            </w:tcMar>
          </w:tcPr>
          <w:p w14:paraId="474464BC"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0,35%</w:t>
            </w:r>
          </w:p>
        </w:tc>
      </w:tr>
      <w:tr w:rsidR="00B42946" w14:paraId="494F03ED"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1BDCFF7D" w14:textId="77777777" w:rsidR="00B42946" w:rsidRDefault="00000000">
            <w:pPr>
              <w:rPr>
                <w:sz w:val="15"/>
                <w:szCs w:val="15"/>
              </w:rPr>
            </w:pPr>
            <w:r>
              <w:rPr>
                <w:sz w:val="15"/>
                <w:szCs w:val="15"/>
              </w:rPr>
              <w:t>851</w:t>
            </w:r>
          </w:p>
        </w:tc>
        <w:tc>
          <w:tcPr>
            <w:tcW w:w="1500" w:type="pct"/>
            <w:tcMar>
              <w:top w:w="11" w:type="dxa"/>
              <w:left w:w="85" w:type="dxa"/>
              <w:bottom w:w="6" w:type="dxa"/>
              <w:right w:w="85" w:type="dxa"/>
            </w:tcMar>
          </w:tcPr>
          <w:p w14:paraId="084217F5"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Ochrona zdrowia</w:t>
            </w:r>
          </w:p>
        </w:tc>
        <w:tc>
          <w:tcPr>
            <w:tcW w:w="900" w:type="pct"/>
            <w:tcMar>
              <w:top w:w="11" w:type="dxa"/>
              <w:left w:w="85" w:type="dxa"/>
              <w:bottom w:w="6" w:type="dxa"/>
              <w:right w:w="85" w:type="dxa"/>
            </w:tcMar>
          </w:tcPr>
          <w:p w14:paraId="6A9DD8A9"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263 600,00</w:t>
            </w:r>
          </w:p>
        </w:tc>
        <w:tc>
          <w:tcPr>
            <w:tcW w:w="900" w:type="pct"/>
            <w:tcMar>
              <w:top w:w="11" w:type="dxa"/>
              <w:left w:w="85" w:type="dxa"/>
              <w:bottom w:w="6" w:type="dxa"/>
              <w:right w:w="85" w:type="dxa"/>
            </w:tcMar>
          </w:tcPr>
          <w:p w14:paraId="448DB04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333 655,62</w:t>
            </w:r>
          </w:p>
        </w:tc>
        <w:tc>
          <w:tcPr>
            <w:tcW w:w="900" w:type="pct"/>
            <w:tcMar>
              <w:top w:w="11" w:type="dxa"/>
              <w:left w:w="85" w:type="dxa"/>
              <w:bottom w:w="6" w:type="dxa"/>
              <w:right w:w="85" w:type="dxa"/>
            </w:tcMar>
          </w:tcPr>
          <w:p w14:paraId="0AAF4D76"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234 800,08</w:t>
            </w:r>
          </w:p>
        </w:tc>
        <w:tc>
          <w:tcPr>
            <w:tcW w:w="750" w:type="pct"/>
            <w:tcMar>
              <w:top w:w="11" w:type="dxa"/>
              <w:left w:w="85" w:type="dxa"/>
              <w:bottom w:w="6" w:type="dxa"/>
              <w:right w:w="85" w:type="dxa"/>
            </w:tcMar>
          </w:tcPr>
          <w:p w14:paraId="023B62EA"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70,37%</w:t>
            </w:r>
          </w:p>
        </w:tc>
        <w:tc>
          <w:tcPr>
            <w:tcW w:w="250" w:type="pct"/>
            <w:tcMar>
              <w:top w:w="11" w:type="dxa"/>
              <w:left w:w="85" w:type="dxa"/>
              <w:bottom w:w="6" w:type="dxa"/>
              <w:right w:w="85" w:type="dxa"/>
            </w:tcMar>
          </w:tcPr>
          <w:p w14:paraId="3B4E6394"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0,31%</w:t>
            </w:r>
          </w:p>
        </w:tc>
      </w:tr>
      <w:tr w:rsidR="00B42946" w14:paraId="066509DB"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77567FCC" w14:textId="77777777" w:rsidR="00B42946" w:rsidRDefault="00000000">
            <w:pPr>
              <w:rPr>
                <w:sz w:val="15"/>
                <w:szCs w:val="15"/>
              </w:rPr>
            </w:pPr>
            <w:r>
              <w:rPr>
                <w:sz w:val="15"/>
                <w:szCs w:val="15"/>
              </w:rPr>
              <w:t>757</w:t>
            </w:r>
          </w:p>
        </w:tc>
        <w:tc>
          <w:tcPr>
            <w:tcW w:w="1500" w:type="pct"/>
            <w:tcMar>
              <w:top w:w="11" w:type="dxa"/>
              <w:left w:w="85" w:type="dxa"/>
              <w:bottom w:w="6" w:type="dxa"/>
              <w:right w:w="85" w:type="dxa"/>
            </w:tcMar>
          </w:tcPr>
          <w:p w14:paraId="4C71BA1B"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Obsługa długu publicznego</w:t>
            </w:r>
          </w:p>
        </w:tc>
        <w:tc>
          <w:tcPr>
            <w:tcW w:w="900" w:type="pct"/>
            <w:tcMar>
              <w:top w:w="11" w:type="dxa"/>
              <w:left w:w="85" w:type="dxa"/>
              <w:bottom w:w="6" w:type="dxa"/>
              <w:right w:w="85" w:type="dxa"/>
            </w:tcMar>
          </w:tcPr>
          <w:p w14:paraId="41FD8788"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282 000,00</w:t>
            </w:r>
          </w:p>
        </w:tc>
        <w:tc>
          <w:tcPr>
            <w:tcW w:w="900" w:type="pct"/>
            <w:tcMar>
              <w:top w:w="11" w:type="dxa"/>
              <w:left w:w="85" w:type="dxa"/>
              <w:bottom w:w="6" w:type="dxa"/>
              <w:right w:w="85" w:type="dxa"/>
            </w:tcMar>
          </w:tcPr>
          <w:p w14:paraId="3645518F"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255 460,00</w:t>
            </w:r>
          </w:p>
        </w:tc>
        <w:tc>
          <w:tcPr>
            <w:tcW w:w="900" w:type="pct"/>
            <w:tcMar>
              <w:top w:w="11" w:type="dxa"/>
              <w:left w:w="85" w:type="dxa"/>
              <w:bottom w:w="6" w:type="dxa"/>
              <w:right w:w="85" w:type="dxa"/>
            </w:tcMar>
          </w:tcPr>
          <w:p w14:paraId="1C56BD08"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201 999,82</w:t>
            </w:r>
          </w:p>
        </w:tc>
        <w:tc>
          <w:tcPr>
            <w:tcW w:w="750" w:type="pct"/>
            <w:tcMar>
              <w:top w:w="11" w:type="dxa"/>
              <w:left w:w="85" w:type="dxa"/>
              <w:bottom w:w="6" w:type="dxa"/>
              <w:right w:w="85" w:type="dxa"/>
            </w:tcMar>
          </w:tcPr>
          <w:p w14:paraId="469EACD4"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79,07%</w:t>
            </w:r>
          </w:p>
        </w:tc>
        <w:tc>
          <w:tcPr>
            <w:tcW w:w="250" w:type="pct"/>
            <w:tcMar>
              <w:top w:w="11" w:type="dxa"/>
              <w:left w:w="85" w:type="dxa"/>
              <w:bottom w:w="6" w:type="dxa"/>
              <w:right w:w="85" w:type="dxa"/>
            </w:tcMar>
          </w:tcPr>
          <w:p w14:paraId="50592173"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0,27%</w:t>
            </w:r>
          </w:p>
        </w:tc>
      </w:tr>
      <w:tr w:rsidR="00B42946" w14:paraId="22102D57"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6D37B833" w14:textId="77777777" w:rsidR="00B42946" w:rsidRDefault="00000000">
            <w:pPr>
              <w:rPr>
                <w:sz w:val="15"/>
                <w:szCs w:val="15"/>
              </w:rPr>
            </w:pPr>
            <w:r>
              <w:rPr>
                <w:sz w:val="15"/>
                <w:szCs w:val="15"/>
              </w:rPr>
              <w:t>752</w:t>
            </w:r>
          </w:p>
        </w:tc>
        <w:tc>
          <w:tcPr>
            <w:tcW w:w="1500" w:type="pct"/>
            <w:tcMar>
              <w:top w:w="11" w:type="dxa"/>
              <w:left w:w="85" w:type="dxa"/>
              <w:bottom w:w="6" w:type="dxa"/>
              <w:right w:w="85" w:type="dxa"/>
            </w:tcMar>
          </w:tcPr>
          <w:p w14:paraId="0DA26BB9"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Obrona narodowa</w:t>
            </w:r>
          </w:p>
        </w:tc>
        <w:tc>
          <w:tcPr>
            <w:tcW w:w="900" w:type="pct"/>
            <w:tcMar>
              <w:top w:w="11" w:type="dxa"/>
              <w:left w:w="85" w:type="dxa"/>
              <w:bottom w:w="6" w:type="dxa"/>
              <w:right w:w="85" w:type="dxa"/>
            </w:tcMar>
          </w:tcPr>
          <w:p w14:paraId="2B0B60F7"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0,00</w:t>
            </w:r>
          </w:p>
        </w:tc>
        <w:tc>
          <w:tcPr>
            <w:tcW w:w="900" w:type="pct"/>
            <w:tcMar>
              <w:top w:w="11" w:type="dxa"/>
              <w:left w:w="85" w:type="dxa"/>
              <w:bottom w:w="6" w:type="dxa"/>
              <w:right w:w="85" w:type="dxa"/>
            </w:tcMar>
          </w:tcPr>
          <w:p w14:paraId="6E93A584"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211 888,00</w:t>
            </w:r>
          </w:p>
        </w:tc>
        <w:tc>
          <w:tcPr>
            <w:tcW w:w="900" w:type="pct"/>
            <w:tcMar>
              <w:top w:w="11" w:type="dxa"/>
              <w:left w:w="85" w:type="dxa"/>
              <w:bottom w:w="6" w:type="dxa"/>
              <w:right w:w="85" w:type="dxa"/>
            </w:tcMar>
          </w:tcPr>
          <w:p w14:paraId="3141A53A"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187 004,26</w:t>
            </w:r>
          </w:p>
        </w:tc>
        <w:tc>
          <w:tcPr>
            <w:tcW w:w="750" w:type="pct"/>
            <w:tcMar>
              <w:top w:w="11" w:type="dxa"/>
              <w:left w:w="85" w:type="dxa"/>
              <w:bottom w:w="6" w:type="dxa"/>
              <w:right w:w="85" w:type="dxa"/>
            </w:tcMar>
          </w:tcPr>
          <w:p w14:paraId="3E6C67AE"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88,26%</w:t>
            </w:r>
          </w:p>
        </w:tc>
        <w:tc>
          <w:tcPr>
            <w:tcW w:w="250" w:type="pct"/>
            <w:tcMar>
              <w:top w:w="11" w:type="dxa"/>
              <w:left w:w="85" w:type="dxa"/>
              <w:bottom w:w="6" w:type="dxa"/>
              <w:right w:w="85" w:type="dxa"/>
            </w:tcMar>
          </w:tcPr>
          <w:p w14:paraId="5FD24E3C"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0,25%</w:t>
            </w:r>
          </w:p>
        </w:tc>
      </w:tr>
      <w:tr w:rsidR="00B42946" w14:paraId="39F068BF"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61A81867" w14:textId="77777777" w:rsidR="00B42946" w:rsidRDefault="00000000">
            <w:pPr>
              <w:rPr>
                <w:sz w:val="15"/>
                <w:szCs w:val="15"/>
              </w:rPr>
            </w:pPr>
            <w:r>
              <w:rPr>
                <w:sz w:val="15"/>
                <w:szCs w:val="15"/>
              </w:rPr>
              <w:t>751</w:t>
            </w:r>
          </w:p>
        </w:tc>
        <w:tc>
          <w:tcPr>
            <w:tcW w:w="1500" w:type="pct"/>
            <w:tcMar>
              <w:top w:w="11" w:type="dxa"/>
              <w:left w:w="85" w:type="dxa"/>
              <w:bottom w:w="6" w:type="dxa"/>
              <w:right w:w="85" w:type="dxa"/>
            </w:tcMar>
          </w:tcPr>
          <w:p w14:paraId="08BD114C"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Urzędy naczelnych organów władzy państwowej, kontroli i ochrony prawa oraz sądownictwa</w:t>
            </w:r>
          </w:p>
        </w:tc>
        <w:tc>
          <w:tcPr>
            <w:tcW w:w="900" w:type="pct"/>
            <w:tcMar>
              <w:top w:w="11" w:type="dxa"/>
              <w:left w:w="85" w:type="dxa"/>
              <w:bottom w:w="6" w:type="dxa"/>
              <w:right w:w="85" w:type="dxa"/>
            </w:tcMar>
          </w:tcPr>
          <w:p w14:paraId="584D36F9"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2 046,00</w:t>
            </w:r>
          </w:p>
        </w:tc>
        <w:tc>
          <w:tcPr>
            <w:tcW w:w="900" w:type="pct"/>
            <w:tcMar>
              <w:top w:w="11" w:type="dxa"/>
              <w:left w:w="85" w:type="dxa"/>
              <w:bottom w:w="6" w:type="dxa"/>
              <w:right w:w="85" w:type="dxa"/>
            </w:tcMar>
          </w:tcPr>
          <w:p w14:paraId="2542C84C"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182 165,00</w:t>
            </w:r>
          </w:p>
        </w:tc>
        <w:tc>
          <w:tcPr>
            <w:tcW w:w="900" w:type="pct"/>
            <w:tcMar>
              <w:top w:w="11" w:type="dxa"/>
              <w:left w:w="85" w:type="dxa"/>
              <w:bottom w:w="6" w:type="dxa"/>
              <w:right w:w="85" w:type="dxa"/>
            </w:tcMar>
          </w:tcPr>
          <w:p w14:paraId="0E0ADD49"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182 119,00</w:t>
            </w:r>
          </w:p>
        </w:tc>
        <w:tc>
          <w:tcPr>
            <w:tcW w:w="750" w:type="pct"/>
            <w:tcMar>
              <w:top w:w="11" w:type="dxa"/>
              <w:left w:w="85" w:type="dxa"/>
              <w:bottom w:w="6" w:type="dxa"/>
              <w:right w:w="85" w:type="dxa"/>
            </w:tcMar>
          </w:tcPr>
          <w:p w14:paraId="51D7EC8C"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99,97%</w:t>
            </w:r>
          </w:p>
        </w:tc>
        <w:tc>
          <w:tcPr>
            <w:tcW w:w="250" w:type="pct"/>
            <w:tcMar>
              <w:top w:w="11" w:type="dxa"/>
              <w:left w:w="85" w:type="dxa"/>
              <w:bottom w:w="6" w:type="dxa"/>
              <w:right w:w="85" w:type="dxa"/>
            </w:tcMar>
          </w:tcPr>
          <w:p w14:paraId="639A8515"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0,24%</w:t>
            </w:r>
          </w:p>
        </w:tc>
      </w:tr>
      <w:tr w:rsidR="00B42946" w14:paraId="795D7663"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56EF335D" w14:textId="77777777" w:rsidR="00B42946" w:rsidRDefault="00000000">
            <w:pPr>
              <w:rPr>
                <w:sz w:val="15"/>
                <w:szCs w:val="15"/>
              </w:rPr>
            </w:pPr>
            <w:r>
              <w:rPr>
                <w:sz w:val="15"/>
                <w:szCs w:val="15"/>
              </w:rPr>
              <w:t>710</w:t>
            </w:r>
          </w:p>
        </w:tc>
        <w:tc>
          <w:tcPr>
            <w:tcW w:w="1500" w:type="pct"/>
            <w:tcMar>
              <w:top w:w="11" w:type="dxa"/>
              <w:left w:w="85" w:type="dxa"/>
              <w:bottom w:w="6" w:type="dxa"/>
              <w:right w:w="85" w:type="dxa"/>
            </w:tcMar>
          </w:tcPr>
          <w:p w14:paraId="319257AB"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Działalność usługowa</w:t>
            </w:r>
          </w:p>
        </w:tc>
        <w:tc>
          <w:tcPr>
            <w:tcW w:w="900" w:type="pct"/>
            <w:tcMar>
              <w:top w:w="11" w:type="dxa"/>
              <w:left w:w="85" w:type="dxa"/>
              <w:bottom w:w="6" w:type="dxa"/>
              <w:right w:w="85" w:type="dxa"/>
            </w:tcMar>
          </w:tcPr>
          <w:p w14:paraId="563A0FA4"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137 943,00</w:t>
            </w:r>
          </w:p>
        </w:tc>
        <w:tc>
          <w:tcPr>
            <w:tcW w:w="900" w:type="pct"/>
            <w:tcMar>
              <w:top w:w="11" w:type="dxa"/>
              <w:left w:w="85" w:type="dxa"/>
              <w:bottom w:w="6" w:type="dxa"/>
              <w:right w:w="85" w:type="dxa"/>
            </w:tcMar>
          </w:tcPr>
          <w:p w14:paraId="0C76DC3A"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195 333,00</w:t>
            </w:r>
          </w:p>
        </w:tc>
        <w:tc>
          <w:tcPr>
            <w:tcW w:w="900" w:type="pct"/>
            <w:tcMar>
              <w:top w:w="11" w:type="dxa"/>
              <w:left w:w="85" w:type="dxa"/>
              <w:bottom w:w="6" w:type="dxa"/>
              <w:right w:w="85" w:type="dxa"/>
            </w:tcMar>
          </w:tcPr>
          <w:p w14:paraId="46EB41C9"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148 813,30</w:t>
            </w:r>
          </w:p>
        </w:tc>
        <w:tc>
          <w:tcPr>
            <w:tcW w:w="750" w:type="pct"/>
            <w:tcMar>
              <w:top w:w="11" w:type="dxa"/>
              <w:left w:w="85" w:type="dxa"/>
              <w:bottom w:w="6" w:type="dxa"/>
              <w:right w:w="85" w:type="dxa"/>
            </w:tcMar>
          </w:tcPr>
          <w:p w14:paraId="4A479602"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76,18%</w:t>
            </w:r>
          </w:p>
        </w:tc>
        <w:tc>
          <w:tcPr>
            <w:tcW w:w="250" w:type="pct"/>
            <w:tcMar>
              <w:top w:w="11" w:type="dxa"/>
              <w:left w:w="85" w:type="dxa"/>
              <w:bottom w:w="6" w:type="dxa"/>
              <w:right w:w="85" w:type="dxa"/>
            </w:tcMar>
          </w:tcPr>
          <w:p w14:paraId="3752AA56"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0,20%</w:t>
            </w:r>
          </w:p>
        </w:tc>
      </w:tr>
      <w:tr w:rsidR="00B42946" w14:paraId="4DBC1898"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1193A94E" w14:textId="77777777" w:rsidR="00B42946" w:rsidRDefault="00000000">
            <w:pPr>
              <w:rPr>
                <w:sz w:val="15"/>
                <w:szCs w:val="15"/>
              </w:rPr>
            </w:pPr>
            <w:r>
              <w:rPr>
                <w:sz w:val="15"/>
                <w:szCs w:val="15"/>
              </w:rPr>
              <w:t>854</w:t>
            </w:r>
          </w:p>
        </w:tc>
        <w:tc>
          <w:tcPr>
            <w:tcW w:w="1500" w:type="pct"/>
            <w:tcMar>
              <w:top w:w="11" w:type="dxa"/>
              <w:left w:w="85" w:type="dxa"/>
              <w:bottom w:w="6" w:type="dxa"/>
              <w:right w:w="85" w:type="dxa"/>
            </w:tcMar>
          </w:tcPr>
          <w:p w14:paraId="68D2DA3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Edukacyjna opieka wychowawcza</w:t>
            </w:r>
          </w:p>
        </w:tc>
        <w:tc>
          <w:tcPr>
            <w:tcW w:w="900" w:type="pct"/>
            <w:tcMar>
              <w:top w:w="11" w:type="dxa"/>
              <w:left w:w="85" w:type="dxa"/>
              <w:bottom w:w="6" w:type="dxa"/>
              <w:right w:w="85" w:type="dxa"/>
            </w:tcMar>
          </w:tcPr>
          <w:p w14:paraId="7C09873A"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84 600,00</w:t>
            </w:r>
          </w:p>
        </w:tc>
        <w:tc>
          <w:tcPr>
            <w:tcW w:w="900" w:type="pct"/>
            <w:tcMar>
              <w:top w:w="11" w:type="dxa"/>
              <w:left w:w="85" w:type="dxa"/>
              <w:bottom w:w="6" w:type="dxa"/>
              <w:right w:w="85" w:type="dxa"/>
            </w:tcMar>
          </w:tcPr>
          <w:p w14:paraId="1495BED3"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131 026,00</w:t>
            </w:r>
          </w:p>
        </w:tc>
        <w:tc>
          <w:tcPr>
            <w:tcW w:w="900" w:type="pct"/>
            <w:tcMar>
              <w:top w:w="11" w:type="dxa"/>
              <w:left w:w="85" w:type="dxa"/>
              <w:bottom w:w="6" w:type="dxa"/>
              <w:right w:w="85" w:type="dxa"/>
            </w:tcMar>
          </w:tcPr>
          <w:p w14:paraId="4FC656C7"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100 123,53</w:t>
            </w:r>
          </w:p>
        </w:tc>
        <w:tc>
          <w:tcPr>
            <w:tcW w:w="750" w:type="pct"/>
            <w:tcMar>
              <w:top w:w="11" w:type="dxa"/>
              <w:left w:w="85" w:type="dxa"/>
              <w:bottom w:w="6" w:type="dxa"/>
              <w:right w:w="85" w:type="dxa"/>
            </w:tcMar>
          </w:tcPr>
          <w:p w14:paraId="06FBFDFE"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76,42%</w:t>
            </w:r>
          </w:p>
        </w:tc>
        <w:tc>
          <w:tcPr>
            <w:tcW w:w="250" w:type="pct"/>
            <w:tcMar>
              <w:top w:w="11" w:type="dxa"/>
              <w:left w:w="85" w:type="dxa"/>
              <w:bottom w:w="6" w:type="dxa"/>
              <w:right w:w="85" w:type="dxa"/>
            </w:tcMar>
          </w:tcPr>
          <w:p w14:paraId="0C4BA9C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0,13%</w:t>
            </w:r>
          </w:p>
        </w:tc>
      </w:tr>
      <w:tr w:rsidR="00B42946" w14:paraId="3F8BBB69" w14:textId="77777777" w:rsidTr="00B42946">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14:paraId="440863FF" w14:textId="77777777" w:rsidR="00B42946" w:rsidRDefault="00000000">
            <w:pPr>
              <w:rPr>
                <w:sz w:val="15"/>
                <w:szCs w:val="15"/>
              </w:rPr>
            </w:pPr>
            <w:r>
              <w:rPr>
                <w:sz w:val="15"/>
                <w:szCs w:val="15"/>
              </w:rPr>
              <w:t>758</w:t>
            </w:r>
          </w:p>
        </w:tc>
        <w:tc>
          <w:tcPr>
            <w:tcW w:w="1500" w:type="pct"/>
            <w:tcMar>
              <w:top w:w="11" w:type="dxa"/>
              <w:left w:w="85" w:type="dxa"/>
              <w:bottom w:w="6" w:type="dxa"/>
              <w:right w:w="85" w:type="dxa"/>
            </w:tcMar>
          </w:tcPr>
          <w:p w14:paraId="10F1133E"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Różne rozliczenia</w:t>
            </w:r>
          </w:p>
        </w:tc>
        <w:tc>
          <w:tcPr>
            <w:tcW w:w="900" w:type="pct"/>
            <w:tcMar>
              <w:top w:w="11" w:type="dxa"/>
              <w:left w:w="85" w:type="dxa"/>
              <w:bottom w:w="6" w:type="dxa"/>
              <w:right w:w="85" w:type="dxa"/>
            </w:tcMar>
          </w:tcPr>
          <w:p w14:paraId="0B7BF0B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770 000,00</w:t>
            </w:r>
          </w:p>
        </w:tc>
        <w:tc>
          <w:tcPr>
            <w:tcW w:w="900" w:type="pct"/>
            <w:tcMar>
              <w:top w:w="11" w:type="dxa"/>
              <w:left w:w="85" w:type="dxa"/>
              <w:bottom w:w="6" w:type="dxa"/>
              <w:right w:w="85" w:type="dxa"/>
            </w:tcMar>
          </w:tcPr>
          <w:p w14:paraId="2CCD6E80"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765 000,00</w:t>
            </w:r>
          </w:p>
        </w:tc>
        <w:tc>
          <w:tcPr>
            <w:tcW w:w="900" w:type="pct"/>
            <w:tcMar>
              <w:top w:w="11" w:type="dxa"/>
              <w:left w:w="85" w:type="dxa"/>
              <w:bottom w:w="6" w:type="dxa"/>
              <w:right w:w="85" w:type="dxa"/>
            </w:tcMar>
          </w:tcPr>
          <w:p w14:paraId="6014E0D1"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8 467,78</w:t>
            </w:r>
          </w:p>
        </w:tc>
        <w:tc>
          <w:tcPr>
            <w:tcW w:w="750" w:type="pct"/>
            <w:tcMar>
              <w:top w:w="11" w:type="dxa"/>
              <w:left w:w="85" w:type="dxa"/>
              <w:bottom w:w="6" w:type="dxa"/>
              <w:right w:w="85" w:type="dxa"/>
            </w:tcMar>
          </w:tcPr>
          <w:p w14:paraId="1C01943C"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1,11%</w:t>
            </w:r>
          </w:p>
        </w:tc>
        <w:tc>
          <w:tcPr>
            <w:tcW w:w="250" w:type="pct"/>
            <w:tcMar>
              <w:top w:w="11" w:type="dxa"/>
              <w:left w:w="85" w:type="dxa"/>
              <w:bottom w:w="6" w:type="dxa"/>
              <w:right w:w="85" w:type="dxa"/>
            </w:tcMar>
          </w:tcPr>
          <w:p w14:paraId="03A08144" w14:textId="77777777" w:rsidR="00B42946" w:rsidRDefault="00000000">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0,01%</w:t>
            </w:r>
          </w:p>
        </w:tc>
      </w:tr>
      <w:tr w:rsidR="00B42946" w14:paraId="36FAF3FF" w14:textId="77777777" w:rsidTr="00B42946">
        <w:tc>
          <w:tcPr>
            <w:cnfStyle w:val="001000000000" w:firstRow="0" w:lastRow="0" w:firstColumn="1" w:lastColumn="0" w:oddVBand="0" w:evenVBand="0" w:oddHBand="0" w:evenHBand="0" w:firstRowFirstColumn="0" w:firstRowLastColumn="0" w:lastRowFirstColumn="0" w:lastRowLastColumn="0"/>
            <w:tcW w:w="50" w:type="pct"/>
            <w:shd w:val="clear" w:color="auto" w:fill="auto"/>
            <w:tcMar>
              <w:top w:w="11" w:type="dxa"/>
              <w:left w:w="85" w:type="dxa"/>
              <w:bottom w:w="6" w:type="dxa"/>
              <w:right w:w="85" w:type="dxa"/>
            </w:tcMar>
          </w:tcPr>
          <w:p w14:paraId="6EA17D57" w14:textId="77777777" w:rsidR="00B42946" w:rsidRDefault="00B42946">
            <w:pPr>
              <w:rPr>
                <w:b/>
                <w:bCs/>
                <w:color w:val="000000"/>
                <w:sz w:val="15"/>
                <w:szCs w:val="15"/>
              </w:rPr>
            </w:pPr>
          </w:p>
        </w:tc>
        <w:tc>
          <w:tcPr>
            <w:tcW w:w="1500" w:type="pct"/>
            <w:tcMar>
              <w:top w:w="11" w:type="dxa"/>
              <w:left w:w="85" w:type="dxa"/>
              <w:bottom w:w="6" w:type="dxa"/>
              <w:right w:w="85" w:type="dxa"/>
            </w:tcMar>
          </w:tcPr>
          <w:p w14:paraId="44525669"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RAZEM WYDATKI OGÓŁEM</w:t>
            </w:r>
          </w:p>
        </w:tc>
        <w:tc>
          <w:tcPr>
            <w:tcW w:w="900" w:type="pct"/>
            <w:tcMar>
              <w:top w:w="11" w:type="dxa"/>
              <w:left w:w="85" w:type="dxa"/>
              <w:bottom w:w="6" w:type="dxa"/>
              <w:right w:w="85" w:type="dxa"/>
            </w:tcMar>
          </w:tcPr>
          <w:p w14:paraId="25C9D1E3"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82 110 006,00</w:t>
            </w:r>
          </w:p>
        </w:tc>
        <w:tc>
          <w:tcPr>
            <w:tcW w:w="900" w:type="pct"/>
            <w:tcMar>
              <w:top w:w="11" w:type="dxa"/>
              <w:left w:w="85" w:type="dxa"/>
              <w:bottom w:w="6" w:type="dxa"/>
              <w:right w:w="85" w:type="dxa"/>
            </w:tcMar>
          </w:tcPr>
          <w:p w14:paraId="4A85BFD7"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82 695 645,46</w:t>
            </w:r>
          </w:p>
        </w:tc>
        <w:tc>
          <w:tcPr>
            <w:tcW w:w="900" w:type="pct"/>
            <w:tcMar>
              <w:top w:w="11" w:type="dxa"/>
              <w:left w:w="85" w:type="dxa"/>
              <w:bottom w:w="6" w:type="dxa"/>
              <w:right w:w="85" w:type="dxa"/>
            </w:tcMar>
          </w:tcPr>
          <w:p w14:paraId="081D74CC"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75 755 015,54</w:t>
            </w:r>
          </w:p>
        </w:tc>
        <w:tc>
          <w:tcPr>
            <w:tcW w:w="750" w:type="pct"/>
            <w:tcMar>
              <w:top w:w="11" w:type="dxa"/>
              <w:left w:w="85" w:type="dxa"/>
              <w:bottom w:w="6" w:type="dxa"/>
              <w:right w:w="85" w:type="dxa"/>
            </w:tcMar>
          </w:tcPr>
          <w:p w14:paraId="6D1679D8"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91,61%</w:t>
            </w:r>
          </w:p>
        </w:tc>
        <w:tc>
          <w:tcPr>
            <w:tcW w:w="250" w:type="pct"/>
            <w:tcMar>
              <w:top w:w="11" w:type="dxa"/>
              <w:left w:w="85" w:type="dxa"/>
              <w:bottom w:w="6" w:type="dxa"/>
              <w:right w:w="85" w:type="dxa"/>
            </w:tcMar>
          </w:tcPr>
          <w:p w14:paraId="124D351A" w14:textId="77777777" w:rsidR="00B42946" w:rsidRDefault="00000000">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100,00%</w:t>
            </w:r>
          </w:p>
        </w:tc>
      </w:tr>
    </w:tbl>
    <w:p w14:paraId="546F5766" w14:textId="77777777" w:rsidR="00B42946" w:rsidRDefault="00B42946">
      <w:pPr>
        <w:jc w:val="both"/>
      </w:pPr>
    </w:p>
    <w:p w14:paraId="4E78D51F" w14:textId="77777777" w:rsidR="00B42946" w:rsidRDefault="00000000">
      <w:pPr>
        <w:jc w:val="both"/>
      </w:pPr>
      <w:r>
        <w:t>Podział wydatków wg rodzajów przedstawia się następująco:</w:t>
      </w:r>
    </w:p>
    <w:p w14:paraId="0C94E3C7" w14:textId="77777777" w:rsidR="00B42946" w:rsidRDefault="00000000">
      <w:pPr>
        <w:pStyle w:val="Akapitzlist"/>
        <w:numPr>
          <w:ilvl w:val="0"/>
          <w:numId w:val="32"/>
        </w:numPr>
        <w:jc w:val="both"/>
      </w:pPr>
      <w:r>
        <w:t>wydatki bieżące zostały wykonane na poziomie 59 130 188,48 zł, tj. w 90,25% w stosunku do planu po zmianach wynoszącego 65 516 256,47 zł, z tego:</w:t>
      </w:r>
    </w:p>
    <w:p w14:paraId="46F2F0C8" w14:textId="77777777" w:rsidR="00B42946" w:rsidRDefault="00000000">
      <w:pPr>
        <w:pStyle w:val="Akapitzlist"/>
        <w:numPr>
          <w:ilvl w:val="1"/>
          <w:numId w:val="32"/>
        </w:numPr>
        <w:jc w:val="both"/>
      </w:pPr>
      <w:r>
        <w:lastRenderedPageBreak/>
        <w:t>wynagrodzenia i składki od nich naliczane – 31 055 799,40 zł, tj. 92,41% planu wynoszącego 33 605 678,15 zł, z tego: wynagrodzenia osobowe nauczycieli 14 267 946,65 zł, wynagrodzenia osobowe pracowników 9 335 390,79 zł, składki na ubezpieczenia społeczne 4 777 260,05 zł, dodatkowe wynagrodzenie roczne nauczycieli 1 036 529,94 zł, dodatkowe wynagrodzenie roczne 645 542,07 zł, składki na Fundusz Pracy oraz Fundusz Solidarnościowy 473 932,75 zł, wynagrodzenia bezosobowe 253 368,00 zł, wynagrodzenia nauczycieli wypłacane w związku z pomocą obywatelom Ukrainy 100 998,02 zł, wpłaty na PPK finansowane przez podmiot zatrudniający 83 545,74 zł, wynagrodzenia agencyjno-prowizyjne 42 516,00 zł, składki i inne pochodne od wynagrodzeń pracowników wypłacanych w związku z pomocą obywatelom Ukrainy 19 574,89 zł, honoraria 14 404,63 zł, składki na Fundusz Emerytur Pomostowych 4 789,87 zł;</w:t>
      </w:r>
    </w:p>
    <w:p w14:paraId="710BF7ED" w14:textId="77777777" w:rsidR="00B42946" w:rsidRDefault="00000000">
      <w:pPr>
        <w:pStyle w:val="Akapitzlist"/>
        <w:numPr>
          <w:ilvl w:val="1"/>
          <w:numId w:val="32"/>
        </w:numPr>
        <w:jc w:val="both"/>
      </w:pPr>
      <w:r>
        <w:t>świadczenia na rzecz osób fizycznych – 8 003 997,62 zł, tj. 96,37% planu wynoszącego 8 305 260,95 zł, z tego: świadczenia społeczne 6 179 864,46 zł, wydatki osobowe niezaliczone do wynagrodzeń 969 819,15 zł, różne wydatki na rzecz osób fizycznych 694 229,68 zł, stypendia dla uczniów 100 123,53 zł, świadczenia społeczne wypłacane obywatelom Ukrainy przebywającym na terytorium RP 43 760,80 zł, nagrody o charakterze szczególnym niezaliczone do wynagrodzeń 16 200,00 zł;</w:t>
      </w:r>
    </w:p>
    <w:p w14:paraId="7333460A" w14:textId="77777777" w:rsidR="00B42946" w:rsidRDefault="00000000">
      <w:pPr>
        <w:pStyle w:val="Akapitzlist"/>
        <w:numPr>
          <w:ilvl w:val="1"/>
          <w:numId w:val="32"/>
        </w:numPr>
        <w:jc w:val="both"/>
      </w:pPr>
      <w:r>
        <w:t>dotacje – 1 081 182,17 zł, tj. 93,45% planu wynoszącego 1 156 972,80 zł,</w:t>
      </w:r>
    </w:p>
    <w:p w14:paraId="1112F315" w14:textId="77777777" w:rsidR="00B42946" w:rsidRDefault="00000000">
      <w:pPr>
        <w:pStyle w:val="Akapitzlist"/>
        <w:numPr>
          <w:ilvl w:val="1"/>
          <w:numId w:val="32"/>
        </w:numPr>
        <w:jc w:val="both"/>
      </w:pPr>
      <w:r>
        <w:t>wydatki na programy finansowane z udziałem środków, o których mowa w art. 5 ust. 1 pkt 2, 3 – 17 900,00 zł, tj. 100,00% planu wynoszącego 17 900,00 zł,</w:t>
      </w:r>
    </w:p>
    <w:p w14:paraId="1F043370" w14:textId="77777777" w:rsidR="00B42946" w:rsidRDefault="00000000">
      <w:pPr>
        <w:pStyle w:val="Akapitzlist"/>
        <w:numPr>
          <w:ilvl w:val="1"/>
          <w:numId w:val="32"/>
        </w:numPr>
        <w:jc w:val="both"/>
      </w:pPr>
      <w:r>
        <w:t>wydatki na obsługę długu publicznego – 201 999,82 zł, tj. 79,07% planu wynoszącego 255 460,00 zł,</w:t>
      </w:r>
    </w:p>
    <w:p w14:paraId="7F361C1C" w14:textId="77777777" w:rsidR="00B42946" w:rsidRDefault="00000000">
      <w:pPr>
        <w:pStyle w:val="Akapitzlist"/>
        <w:numPr>
          <w:ilvl w:val="1"/>
          <w:numId w:val="32"/>
        </w:numPr>
        <w:jc w:val="both"/>
      </w:pPr>
      <w:r>
        <w:t>pozostałe wydatki bieżące – 18 768 309,47 zł, tj. 84,64% planu wynoszącego 22 173 984,57 zł, z tego: zakup usług pozostałych 7 118 734,17 zł, zakup energii 2 918 771,42 zł, zakup materiałów i wyposażenia 2 188 687,05 zł, zakup usług remontowych 1 656 556,83 zł, odpisy na zakładowy fundusz świadczeń socjalnych 1 257 124,51 zł, różne opłaty i składki 1 229 247,12 zł, zakup środków żywności 583 319,16 zł, zakup usług przez jednostki samorządu terytorialnego od innych jednostek samorządu terytorialnego 573 079,14 zł, zakup środków dydaktycznych i książek 301 867,05 zł, opłaty na rzecz budżetów jednostek samorządu terytorialnego 276 753,86 zł, szkolenia pracowników niebędących członkami korpusu służby cywilnej 166 386,77 zł, składki na ubezpieczenie zdrowotne 121 879,57 zł, zakup usług obejmujących wykonanie ekspertyz, analiz i opinii 98 313,70 zł, opłaty z tytułu zakupu usług telekomunikacyjnych 62 417,47 zł, nagrody konkursowe 50 009,87 zł, podróże służbowe krajowe 46 193,31 zł, zwrot dotacji oraz płatności wykorzystanych niezgodnie z przeznaczeniem lub wykorzystanych z naruszeniem procedur, o których mowa w art. 184 ustawy, pobranych nienależnie lub w nadmiernej wysokości 35 279,93 zł, zakup usług zdrowotnych 18 300,16 zł, wpłaty na Państwowy Fundusz Rehabilitacji Osób Niepełnosprawnych 16 499,00 zł, pozostałe wydatki bieżące na zadania związane z pomocą obywatelom Ukrainy 14 404,92 zł, podatek od towarów i usług (VAT). 8 467,78 zł, wpłaty gmin na rzecz izb rolniczych w wysokości 2 % uzyskanych wpływów z podatku rolnego oraz kwoty w wysokości 1,5 % należnego podatku rolnego na rzecz wybranego przez podatnika podmiotu uprawnionego 7 223,31 zł, koszty postępowania sądowego i prokuratorskiego 5 238,46 zł, odsetki od dotacji oraz płatności: wykorzystanych niezgodnie z przeznaczeniem lub wykorzystanych z naruszeniem procedur, o których mowa w art. 184 ustawy, pobranych nienależnie lub  w nadmiernej wysokości 4 509,73 zł, podatek od nieruchomości 4 335,00 zł, zakup towarów (w szczególności materiałów, leków, żywności) w związku z pomocą obywatelom Ukrainy 4 039,18 zł, pozostałe podatki na rzecz budżetów jednostek samorządu terytorialnego 511,00 zł, opłaty na rzecz budżetu państwa 160,00 zł;</w:t>
      </w:r>
    </w:p>
    <w:p w14:paraId="59E168DD" w14:textId="77777777" w:rsidR="00B42946" w:rsidRDefault="00000000">
      <w:pPr>
        <w:pStyle w:val="Akapitzlist"/>
        <w:numPr>
          <w:ilvl w:val="0"/>
          <w:numId w:val="32"/>
        </w:numPr>
        <w:jc w:val="both"/>
      </w:pPr>
      <w:r>
        <w:t>wydatki majątkowe zostały wykonane na poziomie 16 624 827,06 zł, tj. w 96,77% w stosunku do planu po zmianach wynoszącego 17 179 388,99 zł, z tego:</w:t>
      </w:r>
    </w:p>
    <w:p w14:paraId="3780C884" w14:textId="77777777" w:rsidR="00B42946" w:rsidRDefault="00000000">
      <w:pPr>
        <w:pStyle w:val="Akapitzlist"/>
        <w:numPr>
          <w:ilvl w:val="1"/>
          <w:numId w:val="32"/>
        </w:numPr>
        <w:jc w:val="both"/>
      </w:pPr>
      <w:r>
        <w:t>wydatki inwestycyjne i zakupy inwestycyjne – 16 462 827,06 zł, tj. 96,74% planu wynoszącego 17 017 388,99 zł,</w:t>
      </w:r>
    </w:p>
    <w:p w14:paraId="62994ED0" w14:textId="0A9A1F5F" w:rsidR="00B42946" w:rsidRDefault="00000000">
      <w:pPr>
        <w:pStyle w:val="Akapitzlist"/>
        <w:numPr>
          <w:ilvl w:val="1"/>
          <w:numId w:val="32"/>
        </w:numPr>
        <w:jc w:val="both"/>
      </w:pPr>
      <w:r>
        <w:t>pozostałe wydatki majątkowe – 162 000,00 zł, tj. 100,00% planu wynoszącego 162 000,00 zł</w:t>
      </w:r>
      <w:r w:rsidR="00261C00">
        <w:t>.</w:t>
      </w:r>
    </w:p>
    <w:sectPr w:rsidR="00B42946">
      <w:footerReference w:type="even" r:id="rId8"/>
      <w:footerReference w:type="default" r:id="rId9"/>
      <w:footerReference w:type="first" r:id="rId10"/>
      <w:pgSz w:w="11906" w:h="16838"/>
      <w:pgMar w:top="992" w:right="1021" w:bottom="992" w:left="1021" w:header="709"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FE4D55" w14:textId="77777777" w:rsidR="003D6F86" w:rsidRDefault="003D6F86">
      <w:pPr>
        <w:spacing w:after="0" w:line="240" w:lineRule="auto"/>
      </w:pPr>
      <w:r>
        <w:separator/>
      </w:r>
    </w:p>
  </w:endnote>
  <w:endnote w:type="continuationSeparator" w:id="0">
    <w:p w14:paraId="1F5DD5F7" w14:textId="77777777" w:rsidR="003D6F86" w:rsidRDefault="003D6F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662596"/>
      <w:docPartObj>
        <w:docPartGallery w:val="Page Numbers (Bottom of Page)"/>
        <w:docPartUnique/>
      </w:docPartObj>
    </w:sdtPr>
    <w:sdtContent>
      <w:p w14:paraId="7E2A1718" w14:textId="77777777" w:rsidR="00B42946" w:rsidRDefault="00000000">
        <w:pPr>
          <w:pStyle w:val="Stopka"/>
          <w:jc w:val="center"/>
        </w:pPr>
        <w:r>
          <w:fldChar w:fldCharType="begin"/>
        </w:r>
        <w:r>
          <w:instrText>PAGE   \* MERGEFORMAT</w:instrText>
        </w:r>
        <w:r>
          <w:fldChar w:fldCharType="separate"/>
        </w:r>
        <w:r>
          <w:t>#</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1368985"/>
      <w:docPartObj>
        <w:docPartGallery w:val="Page Numbers (Bottom of Page)"/>
        <w:docPartUnique/>
      </w:docPartObj>
    </w:sdtPr>
    <w:sdtContent>
      <w:p w14:paraId="3030891B" w14:textId="77777777" w:rsidR="00B42946" w:rsidRDefault="00000000">
        <w:pPr>
          <w:pStyle w:val="Stopka"/>
          <w:jc w:val="center"/>
        </w:pPr>
        <w:r>
          <w:fldChar w:fldCharType="begin"/>
        </w:r>
        <w:r>
          <w:instrText>PAGE   \* MERGEFORMAT</w:instrText>
        </w:r>
        <w:r>
          <w:fldChar w:fldCharType="separate"/>
        </w:r>
        <w:r>
          <w:t>#</w:t>
        </w:r>
        <w:r>
          <w:fldChar w:fldCharType="end"/>
        </w:r>
      </w:p>
    </w:sdtContent>
  </w:sdt>
  <w:p w14:paraId="51089CC9" w14:textId="77777777" w:rsidR="00B42946" w:rsidRDefault="00B42946">
    <w:pPr>
      <w:pStyle w:val="Stopka"/>
      <w:ind w:left="-567"/>
      <w:jc w:val="right"/>
      <w:rPr>
        <w:vanish/>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969170" w14:textId="77777777" w:rsidR="00B42946" w:rsidRDefault="00B42946">
    <w:pPr>
      <w:pStyle w:val="Stopka"/>
      <w:ind w:left="-567"/>
      <w:rPr>
        <w:vanis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E4C5BF" w14:textId="77777777" w:rsidR="003D6F86" w:rsidRDefault="003D6F86">
      <w:pPr>
        <w:spacing w:after="0" w:line="240" w:lineRule="auto"/>
      </w:pPr>
      <w:r>
        <w:separator/>
      </w:r>
    </w:p>
  </w:footnote>
  <w:footnote w:type="continuationSeparator" w:id="0">
    <w:p w14:paraId="51FB1B6E" w14:textId="77777777" w:rsidR="003D6F86" w:rsidRDefault="003D6F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D676B"/>
    <w:multiLevelType w:val="multilevel"/>
    <w:tmpl w:val="119E2BD6"/>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60D0AF7"/>
    <w:multiLevelType w:val="multilevel"/>
    <w:tmpl w:val="5A12E8B0"/>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2" w15:restartNumberingAfterBreak="0">
    <w:nsid w:val="071F7B05"/>
    <w:multiLevelType w:val="multilevel"/>
    <w:tmpl w:val="526ED800"/>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3" w15:restartNumberingAfterBreak="0">
    <w:nsid w:val="0B223B36"/>
    <w:multiLevelType w:val="hybridMultilevel"/>
    <w:tmpl w:val="809A33BA"/>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C176378"/>
    <w:multiLevelType w:val="multilevel"/>
    <w:tmpl w:val="8828FB38"/>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5" w15:restartNumberingAfterBreak="0">
    <w:nsid w:val="17083995"/>
    <w:multiLevelType w:val="hybridMultilevel"/>
    <w:tmpl w:val="E69A2EE0"/>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17251982"/>
    <w:multiLevelType w:val="hybridMultilevel"/>
    <w:tmpl w:val="B8E81DA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1793249D"/>
    <w:multiLevelType w:val="hybridMultilevel"/>
    <w:tmpl w:val="0D1099AA"/>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18B17914"/>
    <w:multiLevelType w:val="multilevel"/>
    <w:tmpl w:val="A2B47154"/>
    <w:lvl w:ilvl="0">
      <w:start w:val="2"/>
      <w:numFmt w:val="decimal"/>
      <w:lvlText w:val="%1"/>
      <w:lvlJc w:val="left"/>
      <w:pPr>
        <w:ind w:left="525" w:hanging="525"/>
      </w:pPr>
      <w:rPr>
        <w:rFonts w:hint="default"/>
      </w:rPr>
    </w:lvl>
    <w:lvl w:ilvl="1">
      <w:start w:val="3"/>
      <w:numFmt w:val="decimal"/>
      <w:lvlText w:val="%1.%2"/>
      <w:lvlJc w:val="left"/>
      <w:pPr>
        <w:ind w:left="1065" w:hanging="525"/>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9" w15:restartNumberingAfterBreak="0">
    <w:nsid w:val="1B43031C"/>
    <w:multiLevelType w:val="hybridMultilevel"/>
    <w:tmpl w:val="689A62E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1FD07B28"/>
    <w:multiLevelType w:val="multilevel"/>
    <w:tmpl w:val="026C21BA"/>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11" w15:restartNumberingAfterBreak="0">
    <w:nsid w:val="27483732"/>
    <w:multiLevelType w:val="hybridMultilevel"/>
    <w:tmpl w:val="2A9E5B3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2A7DE049"/>
    <w:multiLevelType w:val="multilevel"/>
    <w:tmpl w:val="0A140078"/>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13" w15:restartNumberingAfterBreak="0">
    <w:nsid w:val="2C3EDF8A"/>
    <w:multiLevelType w:val="multilevel"/>
    <w:tmpl w:val="256860B0"/>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14" w15:restartNumberingAfterBreak="0">
    <w:nsid w:val="35B18517"/>
    <w:multiLevelType w:val="multilevel"/>
    <w:tmpl w:val="AE322E42"/>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15" w15:restartNumberingAfterBreak="0">
    <w:nsid w:val="433B7BBA"/>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453D6AC4"/>
    <w:multiLevelType w:val="multilevel"/>
    <w:tmpl w:val="7742A1D8"/>
    <w:lvl w:ilvl="0">
      <w:start w:val="2"/>
      <w:numFmt w:val="decimal"/>
      <w:lvlText w:val="%1"/>
      <w:lvlJc w:val="left"/>
      <w:pPr>
        <w:ind w:left="525" w:hanging="525"/>
      </w:pPr>
      <w:rPr>
        <w:rFonts w:hint="default"/>
      </w:rPr>
    </w:lvl>
    <w:lvl w:ilvl="1">
      <w:start w:val="4"/>
      <w:numFmt w:val="decimal"/>
      <w:lvlText w:val="%1.%2"/>
      <w:lvlJc w:val="left"/>
      <w:pPr>
        <w:ind w:left="705" w:hanging="525"/>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17" w15:restartNumberingAfterBreak="0">
    <w:nsid w:val="457C677D"/>
    <w:multiLevelType w:val="hybridMultilevel"/>
    <w:tmpl w:val="EF0E880C"/>
    <w:lvl w:ilvl="0" w:tplc="CBD8A3CE">
      <w:start w:val="1"/>
      <w:numFmt w:val="decimal"/>
      <w:lvlText w:val="%1."/>
      <w:lvlJc w:val="left"/>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4AD10A42"/>
    <w:multiLevelType w:val="multilevel"/>
    <w:tmpl w:val="1C94B85C"/>
    <w:lvl w:ilvl="0">
      <w:start w:val="1"/>
      <w:numFmt w:val="decimal"/>
      <w:pStyle w:val="Nagwek1"/>
      <w:lvlText w:val="%1."/>
      <w:lvlJc w:val="left"/>
      <w:pPr>
        <w:ind w:left="0" w:firstLine="0"/>
      </w:pPr>
      <w:rPr>
        <w:rFonts w:hint="default"/>
      </w:rPr>
    </w:lvl>
    <w:lvl w:ilvl="1">
      <w:start w:val="1"/>
      <w:numFmt w:val="decimal"/>
      <w:pStyle w:val="Nagwek2"/>
      <w:isLgl/>
      <w:lvlText w:val="%1.%2."/>
      <w:lvlJc w:val="left"/>
      <w:pPr>
        <w:ind w:left="0" w:firstLine="0"/>
      </w:pPr>
      <w:rPr>
        <w:rFonts w:hint="default"/>
      </w:rPr>
    </w:lvl>
    <w:lvl w:ilvl="2">
      <w:start w:val="1"/>
      <w:numFmt w:val="decimal"/>
      <w:pStyle w:val="Nagwek3"/>
      <w:isLgl/>
      <w:lvlText w:val="%1.%2.%3."/>
      <w:lvlJc w:val="left"/>
      <w:pPr>
        <w:ind w:left="0" w:firstLine="0"/>
      </w:pPr>
    </w:lvl>
    <w:lvl w:ilvl="3">
      <w:start w:val="1"/>
      <w:numFmt w:val="decimal"/>
      <w:pStyle w:val="Styl3"/>
      <w:isLgl/>
      <w:lvlText w:val="%1.%2.%3.%4."/>
      <w:lvlJc w:val="left"/>
      <w:pPr>
        <w:ind w:left="0" w:firstLine="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19" w15:restartNumberingAfterBreak="0">
    <w:nsid w:val="557E19A3"/>
    <w:multiLevelType w:val="multilevel"/>
    <w:tmpl w:val="0A420436"/>
    <w:lvl w:ilvl="0">
      <w:start w:val="2"/>
      <w:numFmt w:val="decimal"/>
      <w:lvlText w:val="%1"/>
      <w:lvlJc w:val="left"/>
      <w:pPr>
        <w:ind w:left="525" w:hanging="525"/>
      </w:pPr>
      <w:rPr>
        <w:rFonts w:hint="default"/>
      </w:rPr>
    </w:lvl>
    <w:lvl w:ilvl="1">
      <w:start w:val="3"/>
      <w:numFmt w:val="decimal"/>
      <w:lvlText w:val="%1.%2"/>
      <w:lvlJc w:val="left"/>
      <w:pPr>
        <w:ind w:left="705" w:hanging="52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20" w15:restartNumberingAfterBreak="0">
    <w:nsid w:val="5E65802F"/>
    <w:multiLevelType w:val="multilevel"/>
    <w:tmpl w:val="98D83384"/>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21" w15:restartNumberingAfterBreak="0">
    <w:nsid w:val="5F95A02F"/>
    <w:multiLevelType w:val="multilevel"/>
    <w:tmpl w:val="7C729BCA"/>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22" w15:restartNumberingAfterBreak="0">
    <w:nsid w:val="605BDD4C"/>
    <w:multiLevelType w:val="multilevel"/>
    <w:tmpl w:val="59F8ED62"/>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23" w15:restartNumberingAfterBreak="0">
    <w:nsid w:val="63DB04CC"/>
    <w:multiLevelType w:val="hybridMultilevel"/>
    <w:tmpl w:val="A3E879F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66867ABC"/>
    <w:multiLevelType w:val="multilevel"/>
    <w:tmpl w:val="A9D0031C"/>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25" w15:restartNumberingAfterBreak="0">
    <w:nsid w:val="672718CE"/>
    <w:multiLevelType w:val="multilevel"/>
    <w:tmpl w:val="F034807E"/>
    <w:lvl w:ilvl="0">
      <w:start w:val="2"/>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9E71DAD"/>
    <w:multiLevelType w:val="hybridMultilevel"/>
    <w:tmpl w:val="C6E86CC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7" w15:restartNumberingAfterBreak="0">
    <w:nsid w:val="717151E3"/>
    <w:multiLevelType w:val="hybridMultilevel"/>
    <w:tmpl w:val="52C857F2"/>
    <w:lvl w:ilvl="0" w:tplc="E740456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1A64E3E"/>
    <w:multiLevelType w:val="multilevel"/>
    <w:tmpl w:val="FC24BB6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74F4AF71"/>
    <w:multiLevelType w:val="multilevel"/>
    <w:tmpl w:val="13424FFA"/>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30" w15:restartNumberingAfterBreak="0">
    <w:nsid w:val="76D474CF"/>
    <w:multiLevelType w:val="multilevel"/>
    <w:tmpl w:val="9E86F34E"/>
    <w:lvl w:ilvl="0">
      <w:start w:val="2"/>
      <w:numFmt w:val="decimal"/>
      <w:lvlText w:val="%1"/>
      <w:lvlJc w:val="left"/>
      <w:pPr>
        <w:ind w:left="525" w:hanging="525"/>
      </w:pPr>
      <w:rPr>
        <w:rFonts w:hint="default"/>
      </w:rPr>
    </w:lvl>
    <w:lvl w:ilvl="1">
      <w:start w:val="3"/>
      <w:numFmt w:val="decimal"/>
      <w:lvlText w:val="%1.%2"/>
      <w:lvlJc w:val="left"/>
      <w:pPr>
        <w:ind w:left="705" w:hanging="52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num w:numId="1" w16cid:durableId="1886021839">
    <w:abstractNumId w:val="7"/>
  </w:num>
  <w:num w:numId="2" w16cid:durableId="231505231">
    <w:abstractNumId w:val="26"/>
  </w:num>
  <w:num w:numId="3" w16cid:durableId="1899121822">
    <w:abstractNumId w:val="5"/>
  </w:num>
  <w:num w:numId="4" w16cid:durableId="1406413695">
    <w:abstractNumId w:val="28"/>
  </w:num>
  <w:num w:numId="5" w16cid:durableId="395979288">
    <w:abstractNumId w:val="0"/>
  </w:num>
  <w:num w:numId="6" w16cid:durableId="7552028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618219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01760319">
    <w:abstractNumId w:val="8"/>
  </w:num>
  <w:num w:numId="9" w16cid:durableId="1587958170">
    <w:abstractNumId w:val="19"/>
  </w:num>
  <w:num w:numId="10" w16cid:durableId="716734312">
    <w:abstractNumId w:val="30"/>
  </w:num>
  <w:num w:numId="11" w16cid:durableId="763233836">
    <w:abstractNumId w:val="19"/>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3247312">
    <w:abstractNumId w:val="19"/>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60158301">
    <w:abstractNumId w:val="6"/>
  </w:num>
  <w:num w:numId="14" w16cid:durableId="1855262473">
    <w:abstractNumId w:val="3"/>
  </w:num>
  <w:num w:numId="15" w16cid:durableId="1572614525">
    <w:abstractNumId w:val="9"/>
  </w:num>
  <w:num w:numId="16" w16cid:durableId="521867854">
    <w:abstractNumId w:val="17"/>
  </w:num>
  <w:num w:numId="17" w16cid:durableId="355276219">
    <w:abstractNumId w:val="18"/>
  </w:num>
  <w:num w:numId="18" w16cid:durableId="44838741">
    <w:abstractNumId w:val="15"/>
  </w:num>
  <w:num w:numId="19" w16cid:durableId="1004435546">
    <w:abstractNumId w:val="11"/>
  </w:num>
  <w:num w:numId="20" w16cid:durableId="2041782710">
    <w:abstractNumId w:val="23"/>
  </w:num>
  <w:num w:numId="21" w16cid:durableId="1253275862">
    <w:abstractNumId w:val="16"/>
  </w:num>
  <w:num w:numId="22" w16cid:durableId="1125735766">
    <w:abstractNumId w:val="25"/>
  </w:num>
  <w:num w:numId="23" w16cid:durableId="1436289854">
    <w:abstractNumId w:val="10"/>
  </w:num>
  <w:num w:numId="24" w16cid:durableId="1237059012">
    <w:abstractNumId w:val="29"/>
  </w:num>
  <w:num w:numId="25" w16cid:durableId="1862009652">
    <w:abstractNumId w:val="24"/>
  </w:num>
  <w:num w:numId="26" w16cid:durableId="2098864624">
    <w:abstractNumId w:val="14"/>
  </w:num>
  <w:num w:numId="27" w16cid:durableId="1027830680">
    <w:abstractNumId w:val="1"/>
  </w:num>
  <w:num w:numId="28" w16cid:durableId="1902326349">
    <w:abstractNumId w:val="2"/>
  </w:num>
  <w:num w:numId="29" w16cid:durableId="822621444">
    <w:abstractNumId w:val="13"/>
  </w:num>
  <w:num w:numId="30" w16cid:durableId="210533235">
    <w:abstractNumId w:val="21"/>
  </w:num>
  <w:num w:numId="31" w16cid:durableId="451827848">
    <w:abstractNumId w:val="4"/>
  </w:num>
  <w:num w:numId="32" w16cid:durableId="2117822383">
    <w:abstractNumId w:val="22"/>
  </w:num>
  <w:num w:numId="33" w16cid:durableId="826746703">
    <w:abstractNumId w:val="20"/>
  </w:num>
  <w:num w:numId="34" w16cid:durableId="1737164834">
    <w:abstractNumId w:val="12"/>
  </w:num>
  <w:num w:numId="35" w16cid:durableId="195717507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mirrorMargins/>
  <w:proofState w:spelling="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946"/>
    <w:rsid w:val="00261C00"/>
    <w:rsid w:val="003D6F86"/>
    <w:rsid w:val="007D3DC4"/>
    <w:rsid w:val="00B42946"/>
  </w:rsids>
  <m:mathPr>
    <m:mathFont m:val="Cambria Math"/>
    <m:brkBin m:val="before"/>
    <m:brkBinSub m:val="--"/>
    <m:smallFrac/>
    <m:dispDef/>
    <m:lMargin m:val="0"/>
    <m:rMargin m:val="0"/>
    <m:defJc m:val="centerGroup"/>
    <m:wrapIndent m:val="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1B5E2"/>
  <w15:docId w15:val="{8BF848CF-8A1E-46FB-B4E9-D4AB0D533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0D0D0D" w:themeColor="text1" w:themeTint="F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line="276" w:lineRule="auto"/>
    </w:pPr>
    <w:rPr>
      <w:rFonts w:ascii="Times New Roman" w:hAnsi="Times New Roman"/>
    </w:rPr>
  </w:style>
  <w:style w:type="paragraph" w:styleId="Nagwek1">
    <w:name w:val="heading 1"/>
    <w:basedOn w:val="Normalny"/>
    <w:next w:val="Normalny"/>
    <w:link w:val="Nagwek1Znak"/>
    <w:uiPriority w:val="9"/>
    <w:qFormat/>
    <w:pPr>
      <w:keepNext/>
      <w:keepLines/>
      <w:numPr>
        <w:numId w:val="17"/>
      </w:numPr>
      <w:spacing w:before="840" w:after="840"/>
      <w:contextualSpacing/>
      <w:outlineLvl w:val="0"/>
    </w:pPr>
    <w:rPr>
      <w:rFonts w:asciiTheme="majorHAnsi" w:eastAsiaTheme="majorEastAsia" w:hAnsiTheme="majorHAnsi" w:cstheme="majorBidi"/>
      <w:b/>
      <w:color w:val="2F5C89" w:themeColor="accent1"/>
      <w:sz w:val="24"/>
      <w:szCs w:val="24"/>
    </w:rPr>
  </w:style>
  <w:style w:type="paragraph" w:styleId="Nagwek2">
    <w:name w:val="heading 2"/>
    <w:basedOn w:val="Normalny"/>
    <w:next w:val="Normalny"/>
    <w:link w:val="Nagwek2Znak"/>
    <w:uiPriority w:val="9"/>
    <w:unhideWhenUsed/>
    <w:qFormat/>
    <w:pPr>
      <w:keepNext/>
      <w:keepLines/>
      <w:numPr>
        <w:ilvl w:val="1"/>
        <w:numId w:val="17"/>
      </w:numPr>
      <w:spacing w:before="480"/>
      <w:contextualSpacing/>
      <w:outlineLvl w:val="1"/>
    </w:pPr>
    <w:rPr>
      <w:rFonts w:asciiTheme="majorHAnsi" w:eastAsiaTheme="majorEastAsia" w:hAnsiTheme="majorHAnsi" w:cstheme="majorBidi"/>
      <w:b/>
      <w:smallCaps/>
      <w:color w:val="234466" w:themeColor="accent1" w:themeShade="BF"/>
    </w:rPr>
  </w:style>
  <w:style w:type="paragraph" w:styleId="Nagwek3">
    <w:name w:val="heading 3"/>
    <w:basedOn w:val="Normalny"/>
    <w:next w:val="Normalny"/>
    <w:link w:val="Nagwek3Znak"/>
    <w:uiPriority w:val="9"/>
    <w:unhideWhenUsed/>
    <w:qFormat/>
    <w:pPr>
      <w:keepNext/>
      <w:keepLines/>
      <w:numPr>
        <w:ilvl w:val="2"/>
        <w:numId w:val="17"/>
      </w:numPr>
      <w:spacing w:before="480" w:after="40" w:line="360" w:lineRule="auto"/>
      <w:contextualSpacing/>
      <w:outlineLvl w:val="2"/>
    </w:pPr>
    <w:rPr>
      <w:rFonts w:asciiTheme="majorHAnsi" w:eastAsiaTheme="majorEastAsia" w:hAnsiTheme="majorHAnsi" w:cstheme="majorBidi"/>
      <w:b/>
      <w:smallCaps/>
      <w:color w:val="3C3F49"/>
      <w:szCs w:val="20"/>
    </w:rPr>
  </w:style>
  <w:style w:type="paragraph" w:styleId="Nagwek4">
    <w:name w:val="heading 4"/>
    <w:basedOn w:val="Normalny"/>
    <w:next w:val="Normalny"/>
    <w:link w:val="Nagwek4Znak"/>
    <w:uiPriority w:val="9"/>
    <w:unhideWhenUsed/>
    <w:qFormat/>
    <w:pPr>
      <w:keepNext/>
      <w:keepLines/>
      <w:spacing w:before="240" w:after="40"/>
      <w:outlineLvl w:val="3"/>
    </w:pPr>
    <w:rPr>
      <w:rFonts w:asciiTheme="majorHAnsi" w:eastAsiaTheme="majorEastAsia" w:hAnsiTheme="majorHAnsi" w:cstheme="majorBidi"/>
      <w:b/>
      <w:iCs/>
      <w:smallCaps/>
      <w:color w:val="234466" w:themeColor="accent1" w:themeShade="BF"/>
      <w:szCs w:val="20"/>
    </w:rPr>
  </w:style>
  <w:style w:type="paragraph" w:styleId="Nagwek5">
    <w:name w:val="heading 5"/>
    <w:next w:val="Normalny"/>
    <w:uiPriority w:val="9"/>
    <w:unhideWhenUsed/>
    <w:qFormat/>
    <w:pPr>
      <w:keepNext/>
      <w:spacing w:before="240" w:after="120"/>
      <w:outlineLvl w:val="4"/>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link w:val="TytuZnak"/>
    <w:uiPriority w:val="10"/>
    <w:qFormat/>
    <w:pPr>
      <w:spacing w:before="840" w:after="300" w:line="240" w:lineRule="auto"/>
      <w:contextualSpacing/>
      <w:jc w:val="center"/>
    </w:pPr>
    <w:rPr>
      <w:rFonts w:eastAsiaTheme="majorEastAsia" w:cstheme="majorBidi"/>
      <w:b/>
      <w:color w:val="3C3F49" w:themeColor="text2"/>
      <w:spacing w:val="5"/>
      <w:kern w:val="28"/>
      <w:sz w:val="72"/>
      <w:szCs w:val="48"/>
    </w:rPr>
  </w:style>
  <w:style w:type="paragraph" w:styleId="Podtytu">
    <w:name w:val="Subtitle"/>
    <w:basedOn w:val="Normalny"/>
    <w:next w:val="Normalny"/>
    <w:link w:val="PodtytuZnak"/>
    <w:uiPriority w:val="11"/>
    <w:qFormat/>
    <w:rPr>
      <w:rFonts w:eastAsiaTheme="minorEastAsia"/>
      <w:color w:val="auto"/>
      <w:szCs w:val="14"/>
    </w:rPr>
  </w:style>
  <w:style w:type="paragraph" w:styleId="Akapitzlist">
    <w:name w:val="List Paragraph"/>
    <w:basedOn w:val="Normalny"/>
    <w:autoRedefine/>
    <w:qFormat/>
    <w:pPr>
      <w:ind w:left="720"/>
      <w:contextualSpacing/>
    </w:pPr>
  </w:style>
  <w:style w:type="paragraph" w:styleId="Tekstdymka">
    <w:name w:val="Balloon Text"/>
    <w:basedOn w:val="Normalny"/>
    <w:link w:val="TekstdymkaZnak"/>
    <w:semiHidden/>
    <w:pPr>
      <w:spacing w:after="0" w:line="240" w:lineRule="auto"/>
    </w:pPr>
    <w:rPr>
      <w:rFonts w:ascii="Segoe UI" w:hAnsi="Segoe UI" w:cs="Segoe UI"/>
      <w:sz w:val="18"/>
      <w:szCs w:val="18"/>
    </w:rPr>
  </w:style>
  <w:style w:type="paragraph" w:styleId="Cytatintensywny">
    <w:name w:val="Intense Quote"/>
    <w:aliases w:val="Pozytyw"/>
    <w:basedOn w:val="Normalny"/>
    <w:next w:val="Normalny"/>
    <w:link w:val="CytatintensywnyZnak"/>
    <w:autoRedefine/>
    <w:qFormat/>
    <w:pPr>
      <w:pBdr>
        <w:top w:val="single" w:sz="8" w:space="10" w:color="006139" w:themeColor="accent6"/>
        <w:bottom w:val="single" w:sz="8" w:space="10" w:color="006139" w:themeColor="accent6"/>
      </w:pBdr>
      <w:shd w:val="clear" w:color="auto" w:fill="E1F5F5"/>
      <w:spacing w:before="360" w:after="360"/>
      <w:ind w:left="864" w:right="864"/>
      <w:jc w:val="center"/>
    </w:pPr>
    <w:rPr>
      <w:i/>
      <w:iCs/>
      <w:color w:val="006139" w:themeColor="accent6"/>
    </w:rPr>
  </w:style>
  <w:style w:type="paragraph" w:styleId="Cytat">
    <w:name w:val="Quote"/>
    <w:aliases w:val="Uwaga"/>
    <w:basedOn w:val="Normalny"/>
    <w:next w:val="Normalny"/>
    <w:link w:val="CytatZnak"/>
    <w:autoRedefine/>
    <w:qFormat/>
    <w:pPr>
      <w:pBdr>
        <w:top w:val="single" w:sz="8" w:space="10" w:color="D90912" w:themeColor="accent4"/>
        <w:bottom w:val="single" w:sz="8" w:space="10" w:color="D90912" w:themeColor="accent4"/>
      </w:pBdr>
      <w:shd w:val="clear" w:color="auto" w:fill="FFF5F5"/>
      <w:spacing w:before="360" w:after="360"/>
      <w:ind w:left="862" w:right="862"/>
      <w:contextualSpacing/>
      <w:jc w:val="center"/>
    </w:pPr>
    <w:rPr>
      <w:i/>
      <w:iCs/>
      <w:color w:val="D90912" w:themeColor="accent4"/>
    </w:rPr>
  </w:style>
  <w:style w:type="paragraph" w:styleId="Nagwek">
    <w:name w:val="header"/>
    <w:basedOn w:val="Normalny"/>
    <w:link w:val="NagwekZnak"/>
    <w:pPr>
      <w:tabs>
        <w:tab w:val="center" w:pos="4536"/>
        <w:tab w:val="right" w:pos="9072"/>
      </w:tabs>
      <w:spacing w:after="0" w:line="240" w:lineRule="auto"/>
    </w:pPr>
  </w:style>
  <w:style w:type="paragraph" w:styleId="Stopka">
    <w:name w:val="footer"/>
    <w:basedOn w:val="Normalny"/>
    <w:link w:val="StopkaZnak"/>
    <w:pPr>
      <w:tabs>
        <w:tab w:val="center" w:pos="4536"/>
        <w:tab w:val="right" w:pos="9072"/>
      </w:tabs>
      <w:spacing w:before="240" w:after="0" w:line="240" w:lineRule="auto"/>
    </w:pPr>
    <w:rPr>
      <w:sz w:val="18"/>
    </w:rPr>
  </w:style>
  <w:style w:type="paragraph" w:styleId="Nagwekspisutreci">
    <w:name w:val="TOC Heading"/>
    <w:basedOn w:val="Nagwek1"/>
    <w:next w:val="Normalny"/>
    <w:qFormat/>
    <w:pPr>
      <w:spacing w:line="259" w:lineRule="auto"/>
      <w:outlineLvl w:val="9"/>
    </w:pPr>
    <w:rPr>
      <w:color w:val="234466" w:themeColor="accent1" w:themeShade="BF"/>
      <w:lang w:eastAsia="pl-PL"/>
    </w:rPr>
  </w:style>
  <w:style w:type="paragraph" w:styleId="Spistreci1">
    <w:name w:val="toc 1"/>
    <w:basedOn w:val="Normalny"/>
    <w:next w:val="Normalny"/>
    <w:autoRedefine/>
    <w:pPr>
      <w:spacing w:before="240" w:after="0"/>
    </w:pPr>
    <w:rPr>
      <w:rFonts w:cstheme="majorHAnsi"/>
      <w:b/>
      <w:bCs/>
      <w:caps/>
      <w:sz w:val="24"/>
      <w:szCs w:val="24"/>
    </w:rPr>
  </w:style>
  <w:style w:type="paragraph" w:styleId="Spistreci2">
    <w:name w:val="toc 2"/>
    <w:basedOn w:val="Normalny"/>
    <w:next w:val="Normalny"/>
    <w:autoRedefine/>
    <w:pPr>
      <w:spacing w:before="120" w:after="0"/>
    </w:pPr>
    <w:rPr>
      <w:rFonts w:cstheme="minorHAnsi"/>
      <w:b/>
      <w:bCs/>
    </w:rPr>
  </w:style>
  <w:style w:type="paragraph" w:styleId="Spistreci3">
    <w:name w:val="toc 3"/>
    <w:basedOn w:val="Normalny"/>
    <w:next w:val="Normalny"/>
    <w:autoRedefine/>
    <w:pPr>
      <w:spacing w:after="0"/>
      <w:ind w:left="200"/>
    </w:pPr>
    <w:rPr>
      <w:rFonts w:cstheme="minorHAnsi"/>
    </w:rPr>
  </w:style>
  <w:style w:type="paragraph" w:styleId="Spistreci4">
    <w:name w:val="toc 4"/>
    <w:basedOn w:val="Normalny"/>
    <w:next w:val="Normalny"/>
    <w:autoRedefine/>
    <w:pPr>
      <w:spacing w:after="0"/>
      <w:ind w:left="400"/>
    </w:pPr>
    <w:rPr>
      <w:rFonts w:cstheme="minorHAnsi"/>
    </w:rPr>
  </w:style>
  <w:style w:type="paragraph" w:styleId="Spistreci5">
    <w:name w:val="toc 5"/>
    <w:basedOn w:val="Normalny"/>
    <w:next w:val="Normalny"/>
    <w:autoRedefine/>
    <w:pPr>
      <w:spacing w:after="0"/>
      <w:ind w:left="600"/>
    </w:pPr>
    <w:rPr>
      <w:rFonts w:cstheme="minorHAnsi"/>
    </w:rPr>
  </w:style>
  <w:style w:type="paragraph" w:styleId="Spistreci6">
    <w:name w:val="toc 6"/>
    <w:basedOn w:val="Normalny"/>
    <w:next w:val="Normalny"/>
    <w:autoRedefine/>
    <w:pPr>
      <w:spacing w:after="0"/>
      <w:ind w:left="800"/>
    </w:pPr>
    <w:rPr>
      <w:rFonts w:cstheme="minorHAnsi"/>
    </w:rPr>
  </w:style>
  <w:style w:type="paragraph" w:styleId="Spistreci7">
    <w:name w:val="toc 7"/>
    <w:basedOn w:val="Normalny"/>
    <w:next w:val="Normalny"/>
    <w:autoRedefine/>
    <w:pPr>
      <w:spacing w:after="0"/>
      <w:ind w:left="1000"/>
    </w:pPr>
    <w:rPr>
      <w:rFonts w:cstheme="minorHAnsi"/>
    </w:rPr>
  </w:style>
  <w:style w:type="paragraph" w:styleId="Spistreci8">
    <w:name w:val="toc 8"/>
    <w:basedOn w:val="Normalny"/>
    <w:next w:val="Normalny"/>
    <w:autoRedefine/>
    <w:pPr>
      <w:spacing w:after="0"/>
      <w:ind w:left="1200"/>
    </w:pPr>
    <w:rPr>
      <w:rFonts w:cstheme="minorHAnsi"/>
    </w:rPr>
  </w:style>
  <w:style w:type="paragraph" w:styleId="Spistreci9">
    <w:name w:val="toc 9"/>
    <w:basedOn w:val="Normalny"/>
    <w:next w:val="Normalny"/>
    <w:autoRedefine/>
    <w:pPr>
      <w:spacing w:after="0"/>
      <w:ind w:left="1400"/>
    </w:pPr>
    <w:rPr>
      <w:rFonts w:cstheme="minorHAnsi"/>
    </w:rPr>
  </w:style>
  <w:style w:type="paragraph" w:styleId="Tekstkomentarza">
    <w:name w:val="annotation text"/>
    <w:basedOn w:val="Normalny"/>
    <w:link w:val="TekstkomentarzaZnak"/>
    <w:pPr>
      <w:spacing w:line="240" w:lineRule="auto"/>
    </w:pPr>
  </w:style>
  <w:style w:type="paragraph" w:styleId="Tematkomentarza">
    <w:name w:val="annotation subject"/>
    <w:basedOn w:val="Tekstkomentarza"/>
    <w:next w:val="Tekstkomentarza"/>
    <w:link w:val="TematkomentarzaZnak"/>
    <w:semiHidden/>
    <w:rPr>
      <w:b/>
      <w:bCs/>
    </w:rPr>
  </w:style>
  <w:style w:type="paragraph" w:styleId="Legenda">
    <w:name w:val="caption"/>
    <w:basedOn w:val="Normalny"/>
    <w:next w:val="Normalny"/>
    <w:qFormat/>
    <w:pPr>
      <w:spacing w:after="200" w:line="240" w:lineRule="auto"/>
    </w:pPr>
    <w:rPr>
      <w:i/>
      <w:iCs/>
      <w:color w:val="3C3F49" w:themeColor="text2"/>
      <w:sz w:val="18"/>
      <w:szCs w:val="18"/>
    </w:rPr>
  </w:style>
  <w:style w:type="paragraph" w:styleId="Tekstprzypisukocowego">
    <w:name w:val="endnote text"/>
    <w:basedOn w:val="Normalny"/>
    <w:link w:val="TekstprzypisukocowegoZnak"/>
    <w:semiHidden/>
    <w:pPr>
      <w:spacing w:after="0" w:line="240" w:lineRule="auto"/>
    </w:pPr>
  </w:style>
  <w:style w:type="paragraph" w:customStyle="1" w:styleId="Styl1">
    <w:name w:val="Styl1"/>
    <w:basedOn w:val="Podtytu"/>
    <w:link w:val="Styl1Znak"/>
    <w:qFormat/>
  </w:style>
  <w:style w:type="paragraph" w:customStyle="1" w:styleId="Naglowek4">
    <w:name w:val="Naglowek 4"/>
    <w:basedOn w:val="Nagwek3"/>
    <w:next w:val="Nagwek4"/>
    <w:qFormat/>
    <w:pPr>
      <w:spacing w:before="120" w:after="120"/>
    </w:pPr>
  </w:style>
  <w:style w:type="paragraph" w:customStyle="1" w:styleId="Styl2">
    <w:name w:val="Styl2"/>
    <w:basedOn w:val="Nagwek3"/>
    <w:next w:val="Naglowek4"/>
    <w:qFormat/>
  </w:style>
  <w:style w:type="paragraph" w:customStyle="1" w:styleId="Styl3">
    <w:name w:val="Styl3"/>
    <w:basedOn w:val="Nagwek3"/>
    <w:qFormat/>
    <w:pPr>
      <w:numPr>
        <w:ilvl w:val="3"/>
      </w:numPr>
    </w:pPr>
  </w:style>
  <w:style w:type="paragraph" w:customStyle="1" w:styleId="Styl31">
    <w:name w:val="Styl31"/>
    <w:basedOn w:val="Nagwek3"/>
    <w:next w:val="Styl3"/>
    <w:qFormat/>
    <w:pPr>
      <w:numPr>
        <w:numId w:val="0"/>
      </w:numPr>
      <w:ind w:left="1080" w:hanging="1080"/>
    </w:pPr>
  </w:style>
  <w:style w:type="paragraph" w:customStyle="1" w:styleId="SmallTitle">
    <w:name w:val="SmallTitle"/>
    <w:basedOn w:val="Normalny"/>
    <w:link w:val="SmallTitleZnak"/>
    <w:qFormat/>
    <w:pPr>
      <w:spacing w:line="259" w:lineRule="auto"/>
      <w:jc w:val="center"/>
    </w:pPr>
    <w:rPr>
      <w:b/>
      <w:bCs/>
    </w:rPr>
  </w:style>
  <w:style w:type="paragraph" w:customStyle="1" w:styleId="SmallSubtitle">
    <w:name w:val="SmallSubtitle"/>
    <w:basedOn w:val="Normalny"/>
    <w:link w:val="SmallSubtitleZnak"/>
    <w:qFormat/>
    <w:pPr>
      <w:keepNext/>
      <w:spacing w:before="240"/>
    </w:pPr>
    <w:rPr>
      <w:b/>
      <w:caps/>
      <w:lang w:val="en-US"/>
    </w:rPr>
  </w:style>
  <w:style w:type="paragraph" w:styleId="Tekstprzypisudolnego">
    <w:name w:val="footnote text"/>
    <w:link w:val="TekstprzypisudolnegoZnak"/>
    <w:semiHidden/>
    <w:pPr>
      <w:spacing w:after="0" w:line="240" w:lineRule="auto"/>
    </w:pPr>
    <w:rPr>
      <w:szCs w:val="20"/>
    </w:rPr>
  </w:style>
  <w:style w:type="character" w:styleId="Numerwiersza">
    <w:name w:val="line number"/>
    <w:basedOn w:val="Domylnaczcionkaakapitu"/>
    <w:semiHidden/>
  </w:style>
  <w:style w:type="character" w:styleId="Hipercze">
    <w:name w:val="Hyperlink"/>
    <w:basedOn w:val="Domylnaczcionkaakapitu"/>
    <w:rPr>
      <w:color w:val="0563C1" w:themeColor="hyperlink"/>
      <w:u w:val="single"/>
    </w:rPr>
  </w:style>
  <w:style w:type="character" w:customStyle="1" w:styleId="Nagwek1Znak">
    <w:name w:val="Nagłówek 1 Znak"/>
    <w:basedOn w:val="Domylnaczcionkaakapitu"/>
    <w:link w:val="Nagwek1"/>
    <w:rPr>
      <w:rFonts w:asciiTheme="majorHAnsi" w:eastAsiaTheme="majorEastAsia" w:hAnsiTheme="majorHAnsi" w:cstheme="majorBidi"/>
      <w:b/>
      <w:color w:val="2F5C89" w:themeColor="accent1"/>
      <w:sz w:val="24"/>
      <w:szCs w:val="24"/>
    </w:rPr>
  </w:style>
  <w:style w:type="character" w:customStyle="1" w:styleId="Nagwek2Znak">
    <w:name w:val="Nagłówek 2 Znak"/>
    <w:basedOn w:val="Domylnaczcionkaakapitu"/>
    <w:link w:val="Nagwek2"/>
    <w:rPr>
      <w:rFonts w:asciiTheme="majorHAnsi" w:eastAsiaTheme="majorEastAsia" w:hAnsiTheme="majorHAnsi" w:cstheme="majorBidi"/>
      <w:b/>
      <w:smallCaps/>
      <w:color w:val="234466" w:themeColor="accent1" w:themeShade="BF"/>
    </w:rPr>
  </w:style>
  <w:style w:type="character" w:customStyle="1" w:styleId="TytuZnak">
    <w:name w:val="Tytuł Znak"/>
    <w:basedOn w:val="Domylnaczcionkaakapitu"/>
    <w:link w:val="Tytu"/>
    <w:rPr>
      <w:rFonts w:ascii="Times New Roman" w:eastAsiaTheme="majorEastAsia" w:hAnsi="Times New Roman" w:cstheme="majorBidi"/>
      <w:b/>
      <w:color w:val="3C3F49" w:themeColor="text2"/>
      <w:spacing w:val="5"/>
      <w:kern w:val="28"/>
      <w:sz w:val="72"/>
      <w:szCs w:val="48"/>
    </w:rPr>
  </w:style>
  <w:style w:type="character" w:customStyle="1" w:styleId="PodtytuZnak">
    <w:name w:val="Podtytuł Znak"/>
    <w:basedOn w:val="Domylnaczcionkaakapitu"/>
    <w:link w:val="Podtytu"/>
    <w:rPr>
      <w:rFonts w:eastAsiaTheme="minorEastAsia"/>
      <w:color w:val="auto"/>
      <w:szCs w:val="14"/>
    </w:rPr>
  </w:style>
  <w:style w:type="character" w:customStyle="1" w:styleId="Nagwek3Znak">
    <w:name w:val="Nagłówek 3 Znak"/>
    <w:basedOn w:val="Domylnaczcionkaakapitu"/>
    <w:link w:val="Nagwek3"/>
    <w:rPr>
      <w:rFonts w:asciiTheme="majorHAnsi" w:eastAsiaTheme="majorEastAsia" w:hAnsiTheme="majorHAnsi" w:cstheme="majorBidi"/>
      <w:b/>
      <w:smallCaps/>
      <w:color w:val="3C3F49"/>
      <w:sz w:val="20"/>
      <w:szCs w:val="20"/>
    </w:rPr>
  </w:style>
  <w:style w:type="character" w:styleId="Wyrnieniedelikatne">
    <w:name w:val="Subtle Emphasis"/>
    <w:aliases w:val="Źródło"/>
    <w:basedOn w:val="Domylnaczcionkaakapitu"/>
    <w:rPr>
      <w:i/>
      <w:iCs/>
      <w:color w:val="404040" w:themeColor="text1" w:themeTint="BF"/>
    </w:rPr>
  </w:style>
  <w:style w:type="character" w:customStyle="1" w:styleId="TekstdymkaZnak">
    <w:name w:val="Tekst dymka Znak"/>
    <w:basedOn w:val="Domylnaczcionkaakapitu"/>
    <w:link w:val="Tekstdymka"/>
    <w:semiHidden/>
    <w:rPr>
      <w:rFonts w:ascii="Segoe UI" w:hAnsi="Segoe UI" w:cs="Segoe UI"/>
      <w:color w:val="121313" w:themeColor="background2" w:themeShade="19"/>
      <w:sz w:val="18"/>
      <w:szCs w:val="18"/>
    </w:rPr>
  </w:style>
  <w:style w:type="character" w:customStyle="1" w:styleId="CytatintensywnyZnak">
    <w:name w:val="Cytat intensywny Znak"/>
    <w:aliases w:val="Pozytyw Znak"/>
    <w:basedOn w:val="Domylnaczcionkaakapitu"/>
    <w:link w:val="Cytatintensywny"/>
    <w:rPr>
      <w:i/>
      <w:iCs/>
      <w:color w:val="006139" w:themeColor="accent6"/>
      <w:sz w:val="20"/>
      <w:shd w:val="clear" w:color="auto" w:fill="E1F5F5"/>
    </w:rPr>
  </w:style>
  <w:style w:type="character" w:customStyle="1" w:styleId="CytatZnak">
    <w:name w:val="Cytat Znak"/>
    <w:aliases w:val="Uwaga Znak"/>
    <w:basedOn w:val="Domylnaczcionkaakapitu"/>
    <w:link w:val="Cytat"/>
    <w:rPr>
      <w:i/>
      <w:iCs/>
      <w:color w:val="D90912" w:themeColor="accent4"/>
      <w:sz w:val="20"/>
      <w:shd w:val="clear" w:color="auto" w:fill="FFF5F5"/>
    </w:rPr>
  </w:style>
  <w:style w:type="character" w:customStyle="1" w:styleId="NagwekZnak">
    <w:name w:val="Nagłówek Znak"/>
    <w:basedOn w:val="Domylnaczcionkaakapitu"/>
    <w:link w:val="Nagwek"/>
    <w:rPr>
      <w:color w:val="121313" w:themeColor="background2" w:themeShade="19"/>
      <w:sz w:val="20"/>
    </w:rPr>
  </w:style>
  <w:style w:type="character" w:customStyle="1" w:styleId="StopkaZnak">
    <w:name w:val="Stopka Znak"/>
    <w:basedOn w:val="Domylnaczcionkaakapitu"/>
    <w:link w:val="Stopka"/>
    <w:rPr>
      <w:rFonts w:ascii="Times New Roman" w:hAnsi="Times New Roman"/>
      <w:sz w:val="18"/>
    </w:rPr>
  </w:style>
  <w:style w:type="character" w:styleId="Odwoaniedokomentarza">
    <w:name w:val="annotation reference"/>
    <w:basedOn w:val="Domylnaczcionkaakapitu"/>
    <w:semiHidden/>
    <w:rPr>
      <w:sz w:val="16"/>
      <w:szCs w:val="16"/>
    </w:rPr>
  </w:style>
  <w:style w:type="character" w:customStyle="1" w:styleId="TekstkomentarzaZnak">
    <w:name w:val="Tekst komentarza Znak"/>
    <w:basedOn w:val="Domylnaczcionkaakapitu"/>
    <w:link w:val="Tekstkomentarza"/>
  </w:style>
  <w:style w:type="character" w:customStyle="1" w:styleId="TematkomentarzaZnak">
    <w:name w:val="Temat komentarza Znak"/>
    <w:basedOn w:val="TekstkomentarzaZnak"/>
    <w:link w:val="Tematkomentarza"/>
    <w:semiHidden/>
    <w:rPr>
      <w:b/>
      <w:bCs/>
    </w:rPr>
  </w:style>
  <w:style w:type="character" w:customStyle="1" w:styleId="TekstprzypisukocowegoZnak">
    <w:name w:val="Tekst przypisu końcowego Znak"/>
    <w:basedOn w:val="Domylnaczcionkaakapitu"/>
    <w:link w:val="Tekstprzypisukocowego"/>
    <w:semiHidden/>
  </w:style>
  <w:style w:type="character" w:styleId="Odwoanieprzypisukocowego">
    <w:name w:val="endnote reference"/>
    <w:basedOn w:val="Domylnaczcionkaakapitu"/>
    <w:semiHidden/>
    <w:rPr>
      <w:vertAlign w:val="superscript"/>
    </w:rPr>
  </w:style>
  <w:style w:type="character" w:customStyle="1" w:styleId="Styl1Znak">
    <w:name w:val="Styl1 Znak"/>
    <w:basedOn w:val="PodtytuZnak"/>
    <w:link w:val="Styl1"/>
    <w:rPr>
      <w:rFonts w:eastAsiaTheme="minorEastAsia"/>
      <w:color w:val="auto"/>
      <w:szCs w:val="14"/>
    </w:rPr>
  </w:style>
  <w:style w:type="character" w:customStyle="1" w:styleId="Nagwek4Znak">
    <w:name w:val="Nagłówek 4 Znak"/>
    <w:basedOn w:val="Domylnaczcionkaakapitu"/>
    <w:link w:val="Nagwek4"/>
    <w:uiPriority w:val="9"/>
    <w:semiHidden/>
    <w:rPr>
      <w:rFonts w:asciiTheme="majorHAnsi" w:eastAsiaTheme="majorEastAsia" w:hAnsiTheme="majorHAnsi" w:cstheme="majorBidi"/>
      <w:b/>
      <w:iCs/>
      <w:smallCaps/>
      <w:color w:val="234466" w:themeColor="accent1" w:themeShade="BF"/>
      <w:szCs w:val="20"/>
    </w:rPr>
  </w:style>
  <w:style w:type="character" w:customStyle="1" w:styleId="SmallTitleZnak">
    <w:name w:val="SmallTitle Znak"/>
    <w:basedOn w:val="Domylnaczcionkaakapitu"/>
    <w:link w:val="SmallTitle"/>
    <w:rPr>
      <w:rFonts w:ascii="Times New Roman" w:hAnsi="Times New Roman"/>
      <w:b/>
      <w:bCs/>
    </w:rPr>
  </w:style>
  <w:style w:type="character" w:customStyle="1" w:styleId="SmallSubtitleZnak">
    <w:name w:val="SmallSubtitle Znak"/>
    <w:basedOn w:val="Domylnaczcionkaakapitu"/>
    <w:link w:val="SmallSubtitle"/>
    <w:rPr>
      <w:rFonts w:ascii="Times New Roman" w:hAnsi="Times New Roman"/>
      <w:b/>
      <w:caps/>
      <w:lang w:val="en-US"/>
    </w:rPr>
  </w:style>
  <w:style w:type="character" w:styleId="Odwoanieprzypisudolnego">
    <w:name w:val="footnote reference"/>
    <w:semiHidden/>
    <w:rPr>
      <w:vertAlign w:val="superscript"/>
    </w:rPr>
  </w:style>
  <w:style w:type="character" w:customStyle="1" w:styleId="TekstprzypisudolnegoZnak">
    <w:name w:val="Tekst przypisu dolnego Znak"/>
    <w:link w:val="Tekstprzypisudolnego"/>
    <w:semiHidden/>
    <w:rPr>
      <w:sz w:val="20"/>
      <w:szCs w:val="20"/>
    </w:rPr>
  </w:style>
  <w:style w:type="character" w:customStyle="1" w:styleId="EndnoteTextChar">
    <w:name w:val="Endnote Text Char"/>
    <w:semiHidden/>
    <w:rPr>
      <w:sz w:val="20"/>
      <w:szCs w:val="20"/>
    </w:rPr>
  </w:style>
  <w:style w:type="table" w:styleId="Tabela-Prosty1">
    <w:name w:val="Table Simple 1"/>
    <w:basedOn w:val="Standardowy"/>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ela-Siatka">
    <w:name w:val="Table Grid"/>
    <w:basedOn w:val="Standardowy"/>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urulis">
    <w:name w:val="Tabela Curulis"/>
    <w:basedOn w:val="Standardowy"/>
    <w:pPr>
      <w:spacing w:after="0" w:line="276" w:lineRule="auto"/>
      <w:jc w:val="right"/>
    </w:pPr>
    <w:rPr>
      <w:rFonts w:ascii="Arial" w:hAnsi="Arial"/>
      <w:sz w:val="18"/>
    </w:rPr>
    <w:tblPr>
      <w:tblBorders>
        <w:bottom w:val="single" w:sz="4" w:space="0" w:color="DADBDC" w:themeColor="background2" w:themeTint="99"/>
        <w:insideH w:val="single" w:sz="4" w:space="0" w:color="DADBDC" w:themeColor="background2" w:themeTint="99"/>
        <w:insideV w:val="single" w:sz="4" w:space="0" w:color="DADBDC" w:themeColor="background2" w:themeTint="99"/>
      </w:tblBorders>
      <w:tblCellMar>
        <w:top w:w="68" w:type="dxa"/>
        <w:left w:w="85" w:type="dxa"/>
        <w:bottom w:w="68" w:type="dxa"/>
        <w:right w:w="85" w:type="dxa"/>
      </w:tblCellMar>
    </w:tblPr>
    <w:tcPr>
      <w:vAlign w:val="center"/>
    </w:tcPr>
    <w:tblStylePr w:type="firstRow">
      <w:pPr>
        <w:jc w:val="center"/>
      </w:pPr>
      <w:rPr>
        <w:rFonts w:ascii="Arial" w:hAnsi="Arial"/>
        <w:b/>
        <w:i w:val="0"/>
        <w:caps w:val="0"/>
        <w:smallCaps w:val="0"/>
        <w:vanish w:val="0"/>
        <w:color w:val="FFFFFF" w:themeColor="background1"/>
        <w:sz w:val="18"/>
        <w:vertAlign w:val="baseline"/>
      </w:rPr>
      <w:tblPr/>
      <w:tcPr>
        <w:tcBorders>
          <w:top w:val="nil"/>
          <w:left w:val="nil"/>
          <w:bottom w:val="nil"/>
          <w:right w:val="nil"/>
          <w:insideH w:val="nil"/>
          <w:insideV w:val="single" w:sz="8" w:space="0" w:color="FFFFFF" w:themeColor="background1"/>
          <w:tl2br w:val="nil"/>
          <w:tr2bl w:val="nil"/>
        </w:tcBorders>
        <w:shd w:val="clear" w:color="auto" w:fill="3C3F49" w:themeFill="text2"/>
      </w:tcPr>
    </w:tblStylePr>
    <w:tblStylePr w:type="lastRow">
      <w:rPr>
        <w:b/>
      </w:rPr>
    </w:tblStylePr>
    <w:tblStylePr w:type="firstCol">
      <w:pPr>
        <w:jc w:val="left"/>
      </w:pPr>
      <w:rPr>
        <w:b w:val="0"/>
      </w:rPr>
      <w:tblPr/>
      <w:tcPr>
        <w:shd w:val="clear" w:color="auto" w:fill="F2F3F3" w:themeFill="background2" w:themeFillTint="32"/>
      </w:tcPr>
    </w:tblStylePr>
  </w:style>
  <w:style w:type="table" w:customStyle="1" w:styleId="TabelaCurulisLiczby">
    <w:name w:val="Tabela Curulis Liczby"/>
    <w:basedOn w:val="TabelaCurulis"/>
    <w:pPr>
      <w:spacing w:line="240" w:lineRule="auto"/>
    </w:pPr>
    <w:tblPr>
      <w:tblBorders>
        <w:top w:val="single" w:sz="4" w:space="0" w:color="8F9296" w:themeColor="background2" w:themeShade="BF"/>
        <w:left w:val="single" w:sz="4" w:space="0" w:color="8F9296" w:themeColor="background2" w:themeShade="BF"/>
        <w:bottom w:val="single" w:sz="4" w:space="0" w:color="8F9296" w:themeColor="background2" w:themeShade="BF"/>
        <w:right w:val="single" w:sz="4" w:space="0" w:color="8F9296" w:themeColor="background2" w:themeShade="BF"/>
        <w:insideH w:val="single" w:sz="4" w:space="0" w:color="8F9296" w:themeColor="background2" w:themeShade="BF"/>
        <w:insideV w:val="single" w:sz="4" w:space="0" w:color="8F9296" w:themeColor="background2" w:themeShade="BF"/>
      </w:tblBorders>
    </w:tblPr>
    <w:tblStylePr w:type="firstRow">
      <w:pPr>
        <w:jc w:val="center"/>
      </w:pPr>
      <w:rPr>
        <w:rFonts w:ascii="Arial" w:hAnsi="Arial"/>
        <w:b/>
        <w:i w:val="0"/>
        <w:caps w:val="0"/>
        <w:smallCaps w:val="0"/>
        <w:vanish w:val="0"/>
        <w:color w:val="FFFFFF" w:themeColor="background1"/>
        <w:sz w:val="18"/>
        <w:vertAlign w:val="baseline"/>
      </w:rPr>
      <w:tblPr/>
      <w:tcPr>
        <w:tcBorders>
          <w:top w:val="nil"/>
          <w:left w:val="nil"/>
          <w:bottom w:val="nil"/>
          <w:right w:val="nil"/>
          <w:insideH w:val="single" w:sz="4" w:space="0" w:color="FFFFFF" w:themeColor="background1"/>
          <w:insideV w:val="single" w:sz="4" w:space="0" w:color="FFFFFF" w:themeColor="background1"/>
          <w:tl2br w:val="nil"/>
          <w:tr2bl w:val="nil"/>
        </w:tcBorders>
        <w:shd w:val="clear" w:color="auto" w:fill="3C3F49" w:themeFill="text2"/>
      </w:tcPr>
    </w:tblStylePr>
    <w:tblStylePr w:type="lastRow">
      <w:rPr>
        <w:b/>
      </w:rPr>
    </w:tblStylePr>
    <w:tblStylePr w:type="firstCol">
      <w:pPr>
        <w:jc w:val="left"/>
      </w:pPr>
      <w:rPr>
        <w:b w:val="0"/>
      </w:rPr>
      <w:tblPr/>
      <w:tcPr>
        <w:shd w:val="clear" w:color="auto" w:fill="F2F3F3" w:themeFill="background2" w:themeFillTint="32"/>
      </w:tcPr>
    </w:tblStylePr>
  </w:style>
  <w:style w:type="table" w:customStyle="1" w:styleId="TabelaCurulisEco">
    <w:name w:val="Tabela Curulis Eco"/>
    <w:basedOn w:val="TabelaCurulis"/>
    <w:pPr>
      <w:spacing w:line="240" w:lineRule="auto"/>
    </w:pPr>
    <w:tblPr>
      <w:tblStyleRowBandSize w:val="1"/>
      <w:tblStyleColBandSize w:val="1"/>
    </w:tblPr>
    <w:tblStylePr w:type="firstRow">
      <w:pPr>
        <w:jc w:val="center"/>
      </w:pPr>
      <w:rPr>
        <w:rFonts w:ascii="Arial" w:hAnsi="Arial"/>
        <w:b/>
        <w:i w:val="0"/>
        <w:caps w:val="0"/>
        <w:smallCaps w:val="0"/>
        <w:vanish w:val="0"/>
        <w:color w:val="000000" w:themeColor="text1"/>
        <w:sz w:val="18"/>
        <w:vertAlign w:val="baseline"/>
      </w:rPr>
      <w:tblPr/>
      <w:tcPr>
        <w:tcBorders>
          <w:top w:val="nil"/>
          <w:left w:val="nil"/>
          <w:bottom w:val="single" w:sz="4" w:space="0" w:color="8F9296" w:themeColor="background2" w:themeShade="BF"/>
          <w:right w:val="nil"/>
          <w:insideH w:val="single" w:sz="4" w:space="0" w:color="8F9296" w:themeColor="background2" w:themeShade="BF"/>
          <w:insideV w:val="single" w:sz="4" w:space="0" w:color="8F9296" w:themeColor="background2" w:themeShade="BF"/>
          <w:tl2br w:val="nil"/>
          <w:tr2bl w:val="nil"/>
        </w:tcBorders>
        <w:shd w:val="clear" w:color="auto" w:fill="FFFFFF" w:themeFill="background1"/>
      </w:tcPr>
    </w:tblStylePr>
    <w:tblStylePr w:type="lastRow">
      <w:rPr>
        <w:b/>
      </w:rPr>
    </w:tblStylePr>
    <w:tblStylePr w:type="firstCol">
      <w:pPr>
        <w:jc w:val="left"/>
      </w:pPr>
      <w:rPr>
        <w:b w:val="0"/>
      </w:rPr>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Curulis">
  <a:themeElements>
    <a:clrScheme name="Curulis">
      <a:dk1>
        <a:sysClr val="windowText" lastClr="000000"/>
      </a:dk1>
      <a:lt1>
        <a:sysClr val="window" lastClr="FFFFFF"/>
      </a:lt1>
      <a:dk2>
        <a:srgbClr val="3C3F49"/>
      </a:dk2>
      <a:lt2>
        <a:srgbClr val="C2C4C6"/>
      </a:lt2>
      <a:accent1>
        <a:srgbClr val="2F5C89"/>
      </a:accent1>
      <a:accent2>
        <a:srgbClr val="A88848"/>
      </a:accent2>
      <a:accent3>
        <a:srgbClr val="FFC000"/>
      </a:accent3>
      <a:accent4>
        <a:srgbClr val="D90912"/>
      </a:accent4>
      <a:accent5>
        <a:srgbClr val="C6EEDE"/>
      </a:accent5>
      <a:accent6>
        <a:srgbClr val="006139"/>
      </a:accent6>
      <a:hlink>
        <a:srgbClr val="0563C1"/>
      </a:hlink>
      <a:folHlink>
        <a:srgbClr val="954F72"/>
      </a:folHlink>
    </a:clrScheme>
    <a:fontScheme name="Curulis">
      <a:majorFont>
        <a:latin typeface="Arial"/>
        <a:ea typeface=""/>
        <a:cs typeface=""/>
      </a:majorFont>
      <a:minorFont>
        <a:latin typeface="Arial"/>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775EC-6D52-46E9-B8D0-DADF27B57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2530</Words>
  <Characters>15186</Characters>
  <Application>Microsoft Office Word</Application>
  <DocSecurity>0</DocSecurity>
  <Lines>126</Lines>
  <Paragraphs>35</Paragraphs>
  <ScaleCrop>false</ScaleCrop>
  <Company/>
  <LinksUpToDate>false</LinksUpToDate>
  <CharactersWithSpaces>17681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Karolina Sawko</dc:creator>
  <cp:keywords>Curulis Sp. z o.o.</cp:keywords>
  <cp:lastModifiedBy>ANNA_S</cp:lastModifiedBy>
  <cp:revision>2</cp:revision>
  <cp:lastPrinted>2022-01-03T14:26:00Z</cp:lastPrinted>
  <dcterms:created xsi:type="dcterms:W3CDTF">2026-01-19T06:04:00Z</dcterms:created>
  <dcterms:modified xsi:type="dcterms:W3CDTF">2026-01-19T06:04:00Z</dcterms:modified>
</cp:coreProperties>
</file>